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108" w:after="108"/>
        <w:rPr>
          <w:rFonts w:ascii="Times New Roman" w:hAnsi="Times New Roman" w:eastAsia="宋体"/>
          <w:sz w:val="22"/>
          <w:szCs w:val="22"/>
          <w:lang w:eastAsia="zh-CN"/>
        </w:rPr>
      </w:pPr>
      <w:r>
        <w:rPr>
          <w:rFonts w:ascii="Times New Roman" w:hAnsi="Times New Roman"/>
          <w:sz w:val="22"/>
          <w:szCs w:val="22"/>
        </w:rPr>
        <w:t>3GPP TSG RAN WG1 Meeting #</w:t>
      </w:r>
      <w:r>
        <w:rPr>
          <w:rFonts w:ascii="Times New Roman" w:hAnsi="Times New Roman" w:eastAsia="宋体"/>
          <w:sz w:val="22"/>
          <w:szCs w:val="22"/>
          <w:lang w:eastAsia="zh-CN"/>
        </w:rPr>
        <w:t>11</w:t>
      </w:r>
      <w:r>
        <w:rPr>
          <w:rFonts w:hint="eastAsia" w:ascii="Times New Roman" w:hAnsi="Times New Roman" w:eastAsia="宋体"/>
          <w:sz w:val="22"/>
          <w:szCs w:val="22"/>
          <w:lang w:eastAsia="zh-CN"/>
        </w:rPr>
        <w:t>4</w:t>
      </w:r>
      <w:r>
        <w:rPr>
          <w:rFonts w:ascii="Times New Roman" w:hAnsi="Times New Roman" w:eastAsia="宋体"/>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hAnsi="Times New Roman" w:eastAsia="宋体"/>
          <w:sz w:val="22"/>
          <w:szCs w:val="22"/>
          <w:lang w:eastAsia="zh-CN"/>
        </w:rPr>
        <w:t>30</w:t>
      </w:r>
      <w:r>
        <w:rPr>
          <w:rFonts w:hint="eastAsia" w:ascii="Times New Roman" w:hAnsi="Times New Roman" w:eastAsia="宋体"/>
          <w:sz w:val="22"/>
          <w:szCs w:val="22"/>
          <w:lang w:eastAsia="zh-CN"/>
        </w:rPr>
        <w:t>6614</w:t>
      </w:r>
    </w:p>
    <w:p>
      <w:pPr>
        <w:tabs>
          <w:tab w:val="center" w:pos="4536"/>
          <w:tab w:val="right" w:pos="9072"/>
        </w:tabs>
        <w:spacing w:before="108" w:after="108"/>
        <w:rPr>
          <w:rFonts w:eastAsia="宋体"/>
          <w:b/>
          <w:bCs/>
          <w:sz w:val="23"/>
          <w:szCs w:val="23"/>
        </w:rPr>
      </w:pPr>
      <w:r>
        <w:rPr>
          <w:rFonts w:hint="eastAsia" w:eastAsia="宋体"/>
          <w:b/>
          <w:sz w:val="22"/>
        </w:rPr>
        <w:t>Toulouse</w:t>
      </w:r>
      <w:r>
        <w:rPr>
          <w:b/>
          <w:sz w:val="22"/>
        </w:rPr>
        <w:t>,</w:t>
      </w:r>
      <w:r>
        <w:rPr>
          <w:rFonts w:hint="eastAsia" w:eastAsia="宋体"/>
          <w:b/>
          <w:sz w:val="22"/>
        </w:rPr>
        <w:t xml:space="preserve"> France,</w:t>
      </w:r>
      <w:r>
        <w:rPr>
          <w:b/>
          <w:sz w:val="22"/>
        </w:rPr>
        <w:t xml:space="preserve"> </w:t>
      </w:r>
      <w:r>
        <w:rPr>
          <w:rFonts w:hint="eastAsia" w:eastAsia="宋体"/>
          <w:b/>
          <w:sz w:val="22"/>
        </w:rPr>
        <w:t>August</w:t>
      </w:r>
      <w:r>
        <w:rPr>
          <w:rFonts w:eastAsia="MS Mincho"/>
          <w:b/>
          <w:sz w:val="22"/>
          <w:lang w:eastAsia="ja-JP"/>
        </w:rPr>
        <w:t xml:space="preserve"> </w:t>
      </w:r>
      <w:r>
        <w:rPr>
          <w:rFonts w:hint="eastAsia" w:eastAsia="宋体"/>
          <w:b/>
          <w:sz w:val="22"/>
        </w:rPr>
        <w:t>21</w:t>
      </w:r>
      <w:r>
        <w:rPr>
          <w:rFonts w:hint="eastAsia" w:eastAsia="宋体"/>
          <w:b/>
          <w:sz w:val="22"/>
          <w:vertAlign w:val="superscript"/>
        </w:rPr>
        <w:t>st</w:t>
      </w:r>
      <w:r>
        <w:rPr>
          <w:rFonts w:eastAsia="MS Mincho"/>
          <w:b/>
          <w:sz w:val="22"/>
          <w:lang w:eastAsia="ja-JP"/>
        </w:rPr>
        <w:t xml:space="preserve"> – </w:t>
      </w:r>
      <w:r>
        <w:rPr>
          <w:rFonts w:hint="eastAsia" w:eastAsia="宋体"/>
          <w:b/>
          <w:sz w:val="22"/>
        </w:rPr>
        <w:t>25</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pPr>
        <w:pStyle w:val="24"/>
        <w:tabs>
          <w:tab w:val="left" w:pos="1805"/>
          <w:tab w:val="clear" w:pos="4536"/>
        </w:tabs>
        <w:spacing w:before="108" w:after="108"/>
        <w:ind w:left="1803" w:hanging="1803"/>
        <w:rPr>
          <w:rFonts w:ascii="Times New Roman" w:hAnsi="Times New Roman"/>
          <w:sz w:val="22"/>
          <w:szCs w:val="22"/>
          <w:lang w:eastAsia="zh-CN"/>
        </w:rPr>
      </w:pPr>
    </w:p>
    <w:p>
      <w:pPr>
        <w:pStyle w:val="24"/>
        <w:tabs>
          <w:tab w:val="left" w:pos="1805"/>
          <w:tab w:val="clear" w:pos="4536"/>
        </w:tabs>
        <w:spacing w:before="108" w:after="108"/>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4"/>
        <w:tabs>
          <w:tab w:val="left" w:pos="1800"/>
        </w:tabs>
        <w:spacing w:before="108" w:after="108"/>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eastAsia="宋体"/>
          <w:sz w:val="22"/>
          <w:szCs w:val="22"/>
          <w:lang w:eastAsia="zh-CN"/>
        </w:rPr>
        <w:t>Enhancements on UL precoding indication for multi-panel transmission</w:t>
      </w:r>
    </w:p>
    <w:p>
      <w:pPr>
        <w:pStyle w:val="24"/>
        <w:tabs>
          <w:tab w:val="left" w:pos="1800"/>
        </w:tabs>
        <w:spacing w:before="108" w:after="108"/>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ascii="Times New Roman" w:hAnsi="Times New Roman" w:eastAsia="宋体"/>
          <w:sz w:val="22"/>
          <w:szCs w:val="22"/>
          <w:lang w:eastAsia="zh-CN"/>
        </w:rPr>
        <w:t>9.1.4.1</w:t>
      </w:r>
    </w:p>
    <w:p>
      <w:pPr>
        <w:pBdr>
          <w:bottom w:val="single" w:color="auto" w:sz="6" w:space="1"/>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08" w:after="108"/>
      </w:pPr>
      <w:r>
        <w:rPr>
          <w:rFonts w:eastAsia="宋体"/>
        </w:rPr>
        <w:t xml:space="preserve">In 3GPP RAN#94-e meeting, </w:t>
      </w:r>
      <w:r>
        <w:t xml:space="preserve">a new work item on </w:t>
      </w:r>
      <w:r>
        <w:rPr>
          <w:rFonts w:eastAsia="宋体"/>
        </w:rPr>
        <w:t xml:space="preserve">MIMO evolution for downlink and uplink </w:t>
      </w:r>
      <w:r>
        <w:t>has been approved</w:t>
      </w:r>
      <w:r>
        <w:rPr>
          <w:rFonts w:eastAsia="宋体"/>
        </w:rPr>
        <w:t xml:space="preserve"> in </w:t>
      </w:r>
      <w:r>
        <w:t xml:space="preserve">[1]. As shown </w:t>
      </w:r>
      <w:r>
        <w:rPr>
          <w:rFonts w:eastAsia="宋体"/>
        </w:rPr>
        <w:t xml:space="preserve">in </w:t>
      </w:r>
      <w:r>
        <w:t xml:space="preserve">below, the enhancement on </w:t>
      </w:r>
      <w:r>
        <w:rPr>
          <w:bCs/>
        </w:rPr>
        <w:t>simultaneous UL transmission</w:t>
      </w:r>
      <w:r>
        <w:rPr>
          <w:rFonts w:eastAsia="宋体"/>
          <w:bCs/>
        </w:rPr>
        <w:t xml:space="preserve"> across </w:t>
      </w:r>
      <w:r>
        <w:rPr>
          <w:bCs/>
        </w:rPr>
        <w:t>multi-panel</w:t>
      </w:r>
      <w:r>
        <w:rPr>
          <w:rFonts w:eastAsia="宋体"/>
          <w:bCs/>
        </w:rPr>
        <w:t xml:space="preserve"> to MTRP operation</w:t>
      </w:r>
      <w:r>
        <w:t xml:space="preserve"> is one of the objectives for this WI:</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numPr>
                <w:ilvl w:val="0"/>
                <w:numId w:val="5"/>
              </w:numPr>
              <w:spacing w:before="108" w:after="108" w:line="240" w:lineRule="auto"/>
              <w:ind w:left="420"/>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pPr>
              <w:numPr>
                <w:ilvl w:val="1"/>
                <w:numId w:val="6"/>
              </w:numPr>
              <w:spacing w:before="108" w:after="108" w:line="240" w:lineRule="auto"/>
              <w:ind w:left="840"/>
              <w:rPr>
                <w:bCs/>
              </w:rPr>
            </w:pPr>
            <w:r>
              <w:rPr>
                <w:bCs/>
              </w:rPr>
              <w:t>UL precoding indication for PUSCH, where no new codebook is introduced for multi-panel simultaneous transmission</w:t>
            </w:r>
          </w:p>
          <w:p>
            <w:pPr>
              <w:numPr>
                <w:ilvl w:val="2"/>
                <w:numId w:val="7"/>
              </w:numPr>
              <w:tabs>
                <w:tab w:val="left" w:pos="1418"/>
              </w:tabs>
              <w:spacing w:before="108" w:after="108" w:line="240" w:lineRule="auto"/>
              <w:ind w:left="1260"/>
              <w:rPr>
                <w:bCs/>
              </w:rPr>
            </w:pPr>
            <w:r>
              <w:rPr>
                <w:bCs/>
              </w:rPr>
              <w:t>The total number of layers is up to four across all panels and total number of codewords is up to two across all panels, considering single DCI and multi-DCI based multi-TRP operation.</w:t>
            </w:r>
          </w:p>
          <w:p>
            <w:pPr>
              <w:numPr>
                <w:ilvl w:val="1"/>
                <w:numId w:val="8"/>
              </w:numPr>
              <w:spacing w:before="108" w:after="108" w:line="240" w:lineRule="auto"/>
              <w:ind w:left="840"/>
              <w:rPr>
                <w:bCs/>
              </w:rPr>
            </w:pPr>
            <w:r>
              <w:rPr>
                <w:bCs/>
              </w:rPr>
              <w:t>UL beam indication for PUCCH/PUSCH, where unified TCI framework extension in objective 2 is assumed, considering single DCI and multi-DCI based multi-TRP operation</w:t>
            </w:r>
          </w:p>
          <w:p>
            <w:pPr>
              <w:numPr>
                <w:ilvl w:val="2"/>
                <w:numId w:val="9"/>
              </w:numPr>
              <w:spacing w:before="108" w:after="108" w:line="240" w:lineRule="auto"/>
              <w:ind w:left="1260"/>
            </w:pPr>
            <w:r>
              <w:rPr>
                <w:bCs/>
              </w:rPr>
              <w:t>For the case of multi-DCI based multi-TRP operation, only PUSCH+PUSCH, or PUCCH+PUCCH is transmitted across two panels in a same CC.</w:t>
            </w:r>
          </w:p>
        </w:tc>
      </w:tr>
    </w:tbl>
    <w:p>
      <w:pPr>
        <w:spacing w:before="108" w:after="108"/>
      </w:pPr>
      <w:r>
        <w:t xml:space="preserve">In this contribution, we present our views on </w:t>
      </w:r>
      <w:r>
        <w:rPr>
          <w:rFonts w:hint="eastAsia" w:eastAsia="宋体"/>
        </w:rPr>
        <w:t xml:space="preserve">the leftover issues of </w:t>
      </w:r>
      <w:r>
        <w:t>UL precoding indication for multi-panel transmission</w:t>
      </w:r>
      <w:r>
        <w:rPr>
          <w:rFonts w:eastAsia="宋体"/>
        </w:rPr>
        <w:t xml:space="preserve"> in Rel-18</w:t>
      </w:r>
      <w:r>
        <w:t>.</w:t>
      </w:r>
    </w:p>
    <w:p>
      <w:pPr>
        <w:pStyle w:val="2"/>
        <w:keepNext/>
        <w:tabs>
          <w:tab w:val="left" w:pos="3686"/>
          <w:tab w:val="left" w:pos="4536"/>
        </w:tabs>
        <w:spacing w:before="360" w:beforeLines="100" w:after="180" w:line="240" w:lineRule="auto"/>
        <w:textAlignment w:val="baseline"/>
        <w:rPr>
          <w:lang w:val="en-US"/>
        </w:rPr>
      </w:pPr>
      <w:r>
        <w:rPr>
          <w:lang w:val="en-US"/>
        </w:rPr>
        <w:t>STxMP PUSCH</w:t>
      </w:r>
      <w:r>
        <w:rPr>
          <w:rFonts w:hint="eastAsia"/>
          <w:lang w:val="en-US"/>
        </w:rPr>
        <w:t xml:space="preserve"> transmission</w:t>
      </w:r>
    </w:p>
    <w:p>
      <w:pPr>
        <w:pStyle w:val="3"/>
        <w:spacing w:before="180" w:after="180"/>
        <w:rPr>
          <w:lang w:val="en-US"/>
        </w:rPr>
      </w:pPr>
      <w:r>
        <w:rPr>
          <w:rFonts w:hint="eastAsia"/>
          <w:lang w:val="en-US"/>
        </w:rPr>
        <w:t>Simultaneous transmission of SRS</w:t>
      </w:r>
    </w:p>
    <w:p>
      <w:pPr>
        <w:spacing w:before="108" w:after="108"/>
        <w:rPr>
          <w:rFonts w:eastAsia="宋体"/>
        </w:rPr>
      </w:pPr>
      <w:r>
        <w:rPr>
          <w:rFonts w:hint="eastAsia" w:eastAsia="宋体"/>
        </w:rPr>
        <w:t xml:space="preserve">For both CB PUSCH and NCB PUSCH, it is common </w:t>
      </w:r>
      <w:r>
        <w:rPr>
          <w:rFonts w:eastAsia="宋体"/>
        </w:rPr>
        <w:t xml:space="preserve">understanding </w:t>
      </w:r>
      <w:r>
        <w:rPr>
          <w:rFonts w:hint="eastAsia" w:eastAsia="宋体"/>
        </w:rPr>
        <w:t>that the UE should transmit PUSCH using the same beam or panel (namely spatial filter) that has been used for SRS transmission, and the gNB will sound the channel based on the transmitted SRS and then decide on a precoder matrix that the UE should use for PUSCH transmission. In the meanwhile, the UE shall be scheduled for PUSCH transmission using the antenna ports that defined by the certain SRS(s). According to the provision of SRS transmission in the current specifications, only one SRS resource from one SRS resource set for CB PUSCH can be transmitted and up to four SRS resources from one SRS resource set for NCB PUSCH can be transmitted in the same symbol.</w:t>
      </w:r>
    </w:p>
    <w:p>
      <w:pPr>
        <w:spacing w:before="108" w:after="108"/>
        <w:rPr>
          <w:rFonts w:eastAsia="宋体"/>
        </w:rPr>
      </w:pPr>
      <w:r>
        <w:rPr>
          <w:rFonts w:hint="eastAsia" w:eastAsia="宋体"/>
        </w:rPr>
        <w:t xml:space="preserve">Given that simultaneous PUSCH transmission can be performed by MP-UE in Rel-18, it </w:t>
      </w:r>
      <w:r>
        <w:rPr>
          <w:rFonts w:eastAsia="宋体"/>
        </w:rPr>
        <w:t>should</w:t>
      </w:r>
      <w:r>
        <w:rPr>
          <w:rFonts w:hint="eastAsia" w:eastAsia="宋体"/>
        </w:rPr>
        <w:t xml:space="preserve"> be workable and beneficial to enable simultaneous SRS transmission from different panels to match the sounding results of STxMP PUSCH well. Consequently, the following enhancements are needed:</w:t>
      </w:r>
    </w:p>
    <w:p>
      <w:pPr>
        <w:numPr>
          <w:ilvl w:val="0"/>
          <w:numId w:val="10"/>
        </w:numPr>
        <w:spacing w:before="108" w:after="108"/>
        <w:rPr>
          <w:rFonts w:eastAsia="宋体"/>
        </w:rPr>
      </w:pPr>
      <w:r>
        <w:rPr>
          <w:rFonts w:hint="eastAsia" w:eastAsia="宋体"/>
        </w:rPr>
        <w:t xml:space="preserve">For CB based STxMP PUSCH, support to simultaneously transmit up to two SRS resources from two </w:t>
      </w:r>
      <w:r>
        <w:rPr>
          <w:rFonts w:eastAsia="宋体"/>
        </w:rPr>
        <w:t xml:space="preserve">different </w:t>
      </w:r>
      <w:r>
        <w:rPr>
          <w:rFonts w:hint="eastAsia" w:eastAsia="宋体"/>
        </w:rPr>
        <w:t>SRS resource sets in the same symbol due to STxMP PUSCH associated with two SRS resource sets and each PUSCH transmission is per-SRS basis.</w:t>
      </w:r>
    </w:p>
    <w:p>
      <w:pPr>
        <w:numPr>
          <w:ilvl w:val="0"/>
          <w:numId w:val="10"/>
        </w:numPr>
        <w:spacing w:before="108" w:after="108"/>
        <w:rPr>
          <w:rFonts w:eastAsia="宋体"/>
        </w:rPr>
      </w:pPr>
      <w:r>
        <w:rPr>
          <w:rFonts w:hint="eastAsia" w:eastAsia="宋体"/>
        </w:rPr>
        <w:t xml:space="preserve">For NCB based STxMP PUSCH, support to simultaneously transmit up to four SRS resources from two </w:t>
      </w:r>
      <w:r>
        <w:rPr>
          <w:rFonts w:eastAsia="宋体"/>
        </w:rPr>
        <w:t xml:space="preserve">different </w:t>
      </w:r>
      <w:r>
        <w:rPr>
          <w:rFonts w:hint="eastAsia" w:eastAsia="宋体"/>
        </w:rPr>
        <w:t>SRS resource sets in the same symbol due to the maximum number of STxMP PUSCH layers is four (Notably, for NCB based PUSCH transmission, the number of SRS transmission is equal to that of PUSCH layers). Furthermore, up to two SRS resources from each of two SRS resource sets can be transmitted because the maximum layer combination of STxMP PUSCH is {2+2} that means up to two layers can be transmitted from each panel.</w:t>
      </w:r>
    </w:p>
    <w:p>
      <w:pPr>
        <w:spacing w:before="108" w:after="108"/>
        <w:rPr>
          <w:rFonts w:eastAsia="宋体"/>
        </w:rPr>
      </w:pPr>
      <w:r>
        <w:rPr>
          <w:rFonts w:hint="eastAsia" w:eastAsia="宋体"/>
        </w:rPr>
        <w:t>In additional, it is intuitive that the maximum number of STxMP SRS transmission under different cases can be subject to UE capability, which can also be discussed in UE capability session.</w:t>
      </w:r>
    </w:p>
    <w:p>
      <w:pPr>
        <w:spacing w:before="108" w:after="108"/>
        <w:rPr>
          <w:rFonts w:eastAsia="宋体"/>
          <w:i/>
          <w:iCs/>
        </w:rPr>
      </w:pPr>
      <w:r>
        <w:rPr>
          <w:rFonts w:hint="eastAsia" w:eastAsia="宋体"/>
          <w:b/>
          <w:bCs/>
          <w:i/>
          <w:iCs/>
        </w:rPr>
        <w:t xml:space="preserve">Proposal 1: </w:t>
      </w:r>
      <w:r>
        <w:rPr>
          <w:rFonts w:hint="eastAsia" w:eastAsia="宋体"/>
          <w:i/>
          <w:iCs/>
        </w:rPr>
        <w:t>If the UE is capable to support single DCI based STxMP PUSCH in SDM/SFN scheme,</w:t>
      </w:r>
    </w:p>
    <w:p>
      <w:pPr>
        <w:numPr>
          <w:ilvl w:val="0"/>
          <w:numId w:val="11"/>
        </w:numPr>
        <w:spacing w:before="108" w:after="108"/>
        <w:rPr>
          <w:rFonts w:eastAsia="宋体"/>
          <w:i/>
          <w:iCs/>
        </w:rPr>
      </w:pPr>
      <w:r>
        <w:rPr>
          <w:rFonts w:hint="eastAsia" w:eastAsia="宋体"/>
          <w:i/>
          <w:iCs/>
        </w:rPr>
        <w:t>For CB PUSCH, up to two SRS resources from different SRS resource sets can be simultaneously transmitted</w:t>
      </w:r>
      <w:r>
        <w:rPr>
          <w:rFonts w:eastAsia="宋体"/>
          <w:i/>
          <w:iCs/>
        </w:rPr>
        <w:t xml:space="preserve">, </w:t>
      </w:r>
      <w:r>
        <w:rPr>
          <w:rFonts w:hint="eastAsia" w:eastAsia="宋体"/>
          <w:i/>
          <w:iCs/>
        </w:rPr>
        <w:t>and up to one SRS resources can be transmitted from each of two SRS resource sets.</w:t>
      </w:r>
    </w:p>
    <w:p>
      <w:pPr>
        <w:numPr>
          <w:ilvl w:val="0"/>
          <w:numId w:val="11"/>
        </w:numPr>
        <w:spacing w:before="108" w:after="108"/>
        <w:rPr>
          <w:rFonts w:eastAsia="宋体"/>
          <w:i/>
          <w:iCs/>
        </w:rPr>
      </w:pPr>
      <w:r>
        <w:rPr>
          <w:rFonts w:hint="eastAsia" w:eastAsia="宋体"/>
          <w:i/>
          <w:iCs/>
        </w:rPr>
        <w:t>For NCB PUSCH, up to four SRS resources can be simultaneously transmitted from two SRS resource sets, and up to two SRS resources can be transmitted from each of two SRS resource sets.</w:t>
      </w:r>
    </w:p>
    <w:p>
      <w:pPr>
        <w:numPr>
          <w:ilvl w:val="0"/>
          <w:numId w:val="11"/>
        </w:numPr>
        <w:spacing w:before="108" w:after="108"/>
        <w:rPr>
          <w:rFonts w:eastAsia="宋体"/>
          <w:i/>
          <w:iCs/>
        </w:rPr>
      </w:pPr>
      <w:r>
        <w:rPr>
          <w:rFonts w:hint="eastAsia" w:eastAsia="宋体"/>
          <w:i/>
          <w:iCs/>
        </w:rPr>
        <w:t>Note: The above can be subject to UE capability.</w:t>
      </w:r>
    </w:p>
    <w:p>
      <w:pPr>
        <w:pStyle w:val="3"/>
        <w:spacing w:before="180" w:after="180"/>
        <w:rPr>
          <w:lang w:val="en-US"/>
        </w:rPr>
      </w:pPr>
      <w:r>
        <w:rPr>
          <w:rFonts w:hint="eastAsia"/>
          <w:lang w:val="en-US"/>
        </w:rPr>
        <w:t>TPR/panel-specific DL CSI acquisition via SRS for STxMP UE in MTRP operation</w:t>
      </w:r>
    </w:p>
    <w:p>
      <w:pPr>
        <w:spacing w:before="288" w:beforeLines="80" w:after="108"/>
        <w:rPr>
          <w:rFonts w:eastAsia="宋体"/>
        </w:rPr>
      </w:pPr>
      <w:r>
        <w:rPr>
          <w:rFonts w:hint="eastAsia" w:eastAsia="宋体"/>
        </w:rPr>
        <w:t xml:space="preserve">Upon the UE capability of supporting STxMP UL in Rel-18, it </w:t>
      </w:r>
      <w:r>
        <w:rPr>
          <w:rFonts w:eastAsia="宋体"/>
        </w:rPr>
        <w:t xml:space="preserve">should be supported </w:t>
      </w:r>
      <w:r>
        <w:rPr>
          <w:rFonts w:hint="eastAsia" w:eastAsia="宋体"/>
        </w:rPr>
        <w:t xml:space="preserve">that different SRS resources can be transmitted from different panels and towards to different TRPs. Consequently, it is very critical to enable TRP/panel-specific DL CSI acquisition via SRS for STxMP UE in MTRP operation, especially for acquiring per TRP/panel DL CSI for MTRP PDSCH transmission. As illustrated in Figure 1, the UE is capable </w:t>
      </w:r>
      <w:r>
        <w:rPr>
          <w:rFonts w:eastAsia="宋体"/>
        </w:rPr>
        <w:t>of</w:t>
      </w:r>
      <w:r>
        <w:rPr>
          <w:rFonts w:hint="eastAsia" w:eastAsia="宋体"/>
        </w:rPr>
        <w:t xml:space="preserve"> support</w:t>
      </w:r>
      <w:r>
        <w:rPr>
          <w:rFonts w:eastAsia="宋体"/>
        </w:rPr>
        <w:t>ing</w:t>
      </w:r>
      <w:r>
        <w:rPr>
          <w:rFonts w:hint="eastAsia" w:eastAsia="宋体"/>
        </w:rPr>
        <w:t xml:space="preserve"> MTRP PDSCH transmission as well as STxMP UL transmission, and it assumed that the MP-UE is equipped with a total of 4Tx-4Rx antenna ports that </w:t>
      </w:r>
      <w:r>
        <w:rPr>
          <w:rFonts w:eastAsia="宋体"/>
        </w:rPr>
        <w:t>are equally split into</w:t>
      </w:r>
      <w:r>
        <w:rPr>
          <w:rFonts w:hint="eastAsia" w:eastAsia="宋体"/>
        </w:rPr>
        <w:t xml:space="preserve"> two panels. Then, 2-port SRS#1 and 2-port SRS#2 are simultaneously transmitted from panel 1 and panel 2 for acquiring CSI</w:t>
      </w:r>
      <w:r>
        <w:rPr>
          <w:rFonts w:hint="eastAsia" w:eastAsia="宋体"/>
          <w:vertAlign w:val="subscript"/>
        </w:rPr>
        <w:t>1</w:t>
      </w:r>
      <w:r>
        <w:rPr>
          <w:rFonts w:hint="eastAsia" w:eastAsia="宋体"/>
        </w:rPr>
        <w:t xml:space="preserve"> and CSI</w:t>
      </w:r>
      <w:r>
        <w:rPr>
          <w:rFonts w:hint="eastAsia" w:eastAsia="宋体"/>
          <w:vertAlign w:val="subscript"/>
        </w:rPr>
        <w:t>2</w:t>
      </w:r>
      <w:r>
        <w:rPr>
          <w:rFonts w:hint="eastAsia" w:eastAsia="宋体"/>
        </w:rPr>
        <w:t xml:space="preserve"> in terms of the channel condition between each TRP and each panel. Eventually, PDSCH#1 and PDSCH#2 can be delivered based on CSI</w:t>
      </w:r>
      <w:r>
        <w:rPr>
          <w:rFonts w:hint="eastAsia" w:eastAsia="宋体"/>
          <w:vertAlign w:val="subscript"/>
        </w:rPr>
        <w:t>1</w:t>
      </w:r>
      <w:r>
        <w:rPr>
          <w:rFonts w:hint="eastAsia" w:eastAsia="宋体"/>
        </w:rPr>
        <w:t xml:space="preserve"> and CSI</w:t>
      </w:r>
      <w:r>
        <w:rPr>
          <w:rFonts w:hint="eastAsia" w:eastAsia="宋体"/>
          <w:vertAlign w:val="subscript"/>
        </w:rPr>
        <w:t>2</w:t>
      </w:r>
      <w:r>
        <w:rPr>
          <w:rFonts w:hint="eastAsia" w:eastAsia="宋体"/>
        </w:rPr>
        <w:t>, respectively.</w:t>
      </w:r>
    </w:p>
    <w:p>
      <w:pPr>
        <w:spacing w:before="108" w:after="108"/>
        <w:jc w:val="center"/>
      </w:pPr>
      <w:r>
        <w:drawing>
          <wp:inline distT="0" distB="0" distL="114300" distR="114300">
            <wp:extent cx="3920490" cy="2291715"/>
            <wp:effectExtent l="0" t="0" r="11430"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0"/>
                    <a:stretch>
                      <a:fillRect/>
                    </a:stretch>
                  </pic:blipFill>
                  <pic:spPr>
                    <a:xfrm>
                      <a:off x="0" y="0"/>
                      <a:ext cx="3920490" cy="2291715"/>
                    </a:xfrm>
                    <a:prstGeom prst="rect">
                      <a:avLst/>
                    </a:prstGeom>
                    <a:noFill/>
                    <a:ln>
                      <a:noFill/>
                    </a:ln>
                  </pic:spPr>
                </pic:pic>
              </a:graphicData>
            </a:graphic>
          </wp:inline>
        </w:drawing>
      </w:r>
    </w:p>
    <w:p>
      <w:pPr>
        <w:spacing w:before="108" w:after="108"/>
        <w:jc w:val="center"/>
      </w:pPr>
    </w:p>
    <w:p>
      <w:pPr>
        <w:spacing w:before="108" w:after="288" w:afterLines="80"/>
        <w:jc w:val="center"/>
        <w:rPr>
          <w:rFonts w:eastAsia="宋体"/>
          <w:b/>
          <w:bCs/>
        </w:rPr>
      </w:pPr>
      <w:r>
        <w:rPr>
          <w:rFonts w:hint="eastAsia" w:eastAsia="宋体"/>
          <w:b/>
          <w:bCs/>
        </w:rPr>
        <w:t>Figure 1</w:t>
      </w:r>
      <w:r>
        <w:rPr>
          <w:rFonts w:hint="eastAsia" w:eastAsia="宋体"/>
          <w:b/>
          <w:bCs/>
        </w:rPr>
        <w:tab/>
      </w:r>
      <w:r>
        <w:rPr>
          <w:rFonts w:hint="eastAsia" w:eastAsia="宋体"/>
          <w:b/>
          <w:bCs/>
        </w:rPr>
        <w:t>TPR/panel-specific DL CSI acquisition via SRS for STxMP UE in MTRP operation</w:t>
      </w:r>
    </w:p>
    <w:p>
      <w:pPr>
        <w:spacing w:before="108" w:after="108"/>
        <w:rPr>
          <w:rFonts w:eastAsia="宋体"/>
          <w:i/>
          <w:iCs/>
        </w:rPr>
      </w:pPr>
      <w:r>
        <w:rPr>
          <w:rFonts w:hint="eastAsia" w:eastAsia="宋体"/>
          <w:b/>
          <w:bCs/>
          <w:i/>
          <w:iCs/>
        </w:rPr>
        <w:t xml:space="preserve">Proposal 2: </w:t>
      </w:r>
      <w:r>
        <w:rPr>
          <w:rFonts w:hint="eastAsia" w:eastAsia="宋体"/>
          <w:i/>
          <w:iCs/>
        </w:rPr>
        <w:t>Study how to fulfill TRP/panel-specific DL CSI acquisition via SRS for STxMP UE in MTRP operation.</w:t>
      </w:r>
    </w:p>
    <w:p>
      <w:pPr>
        <w:spacing w:before="288" w:beforeLines="80" w:after="108"/>
        <w:rPr>
          <w:rFonts w:eastAsia="宋体"/>
        </w:rPr>
      </w:pPr>
      <w:r>
        <w:rPr>
          <w:rFonts w:hint="eastAsia" w:eastAsia="宋体"/>
        </w:rPr>
        <w:t>To enable TRP/panel-specific DL CSI acquisition via SRS for the above case</w:t>
      </w:r>
      <w:r>
        <w:rPr>
          <w:rFonts w:eastAsia="宋体"/>
        </w:rPr>
        <w:t xml:space="preserve"> (i.e., 4T</w:t>
      </w:r>
      <w:r>
        <w:rPr>
          <w:rFonts w:hint="eastAsia" w:eastAsia="宋体"/>
          <w:lang w:val="en-US" w:eastAsia="zh-CN"/>
        </w:rPr>
        <w:t>=</w:t>
      </w:r>
      <w:r>
        <w:rPr>
          <w:rFonts w:eastAsia="宋体"/>
        </w:rPr>
        <w:t>4R)</w:t>
      </w:r>
      <w:r>
        <w:rPr>
          <w:rFonts w:hint="eastAsia" w:eastAsia="宋体"/>
        </w:rPr>
        <w:t>, the following two approaches can be considered in scope of the current specification:</w:t>
      </w:r>
    </w:p>
    <w:p>
      <w:pPr>
        <w:numPr>
          <w:ilvl w:val="0"/>
          <w:numId w:val="12"/>
        </w:numPr>
        <w:spacing w:before="108" w:after="108"/>
        <w:rPr>
          <w:rFonts w:eastAsia="宋体"/>
          <w:b/>
          <w:bCs/>
        </w:rPr>
      </w:pPr>
      <w:r>
        <w:rPr>
          <w:rFonts w:hint="eastAsia" w:eastAsia="宋体"/>
          <w:b/>
          <w:bCs/>
        </w:rPr>
        <w:t>Approach 1: DL CSI acquisition via one 4T=4R antenna switching SRS</w:t>
      </w:r>
    </w:p>
    <w:p>
      <w:pPr>
        <w:spacing w:before="108" w:after="108"/>
        <w:ind w:left="420"/>
        <w:rPr>
          <w:rFonts w:eastAsia="宋体"/>
        </w:rPr>
      </w:pPr>
      <w:r>
        <w:rPr>
          <w:rFonts w:hint="eastAsia" w:eastAsia="宋体"/>
        </w:rPr>
        <w:t xml:space="preserve">As highlighted in the following </w:t>
      </w:r>
      <w:r>
        <w:rPr>
          <w:rFonts w:hint="eastAsia" w:eastAsia="宋体"/>
          <w:highlight w:val="green"/>
        </w:rPr>
        <w:t>green parts</w:t>
      </w:r>
      <w:r>
        <w:rPr>
          <w:rFonts w:hint="eastAsia" w:eastAsia="宋体"/>
        </w:rPr>
        <w:t>, one SRS resource for 4T=4R can be configured in an SRS resource set and transmitted in an occasion, where only one spatial relation as well as one set of power control parameters can be used for this SRS, which deviates from the discrepancy of channel conditions between different panels to different TRPs.</w:t>
      </w:r>
    </w:p>
    <w:p>
      <w:pPr>
        <w:numPr>
          <w:ilvl w:val="0"/>
          <w:numId w:val="12"/>
        </w:numPr>
        <w:spacing w:before="108" w:after="108"/>
        <w:rPr>
          <w:rFonts w:eastAsia="宋体"/>
          <w:b/>
          <w:bCs/>
        </w:rPr>
      </w:pPr>
      <w:r>
        <w:rPr>
          <w:rFonts w:hint="eastAsia" w:eastAsia="宋体"/>
          <w:b/>
          <w:bCs/>
        </w:rPr>
        <w:t>Approach 2: DL CSI acquisition via two 2T=2R antenna switching SRSs</w:t>
      </w:r>
    </w:p>
    <w:p>
      <w:pPr>
        <w:spacing w:before="108" w:after="108"/>
        <w:ind w:left="420"/>
        <w:rPr>
          <w:rFonts w:eastAsia="宋体"/>
        </w:rPr>
      </w:pPr>
      <w:r>
        <w:rPr>
          <w:rFonts w:hint="eastAsia" w:eastAsia="宋体"/>
        </w:rPr>
        <w:t xml:space="preserve">As highlighted in the following </w:t>
      </w:r>
      <w:r>
        <w:rPr>
          <w:rFonts w:hint="eastAsia" w:eastAsia="宋体"/>
          <w:highlight w:val="yellow"/>
        </w:rPr>
        <w:t>yellow parts</w:t>
      </w:r>
      <w:r>
        <w:rPr>
          <w:rFonts w:hint="eastAsia" w:eastAsia="宋体"/>
        </w:rPr>
        <w:t>, although two SRS resources for 2T=2R per TRP/panel can be configured in two SRS resource sets with different spatial relations, these two SRS resources can only be transmitted in different symbols and cannot be configured with independent power control parameters. In addition, the SRS ports of these two SRS resources should be associated with a different UE antenna ports of each panel. So far, that is not specified in the current specification</w:t>
      </w:r>
      <w:r>
        <w:rPr>
          <w:rFonts w:eastAsia="宋体"/>
        </w:rPr>
        <w:t>, either</w:t>
      </w:r>
      <w:r>
        <w:rPr>
          <w:rFonts w:hint="eastAsia" w:eastAsia="宋体"/>
        </w:rPr>
        <w:t xml:space="preserve">. </w:t>
      </w:r>
    </w:p>
    <w:p>
      <w:pPr>
        <w:numPr>
          <w:ilvl w:val="0"/>
          <w:numId w:val="13"/>
        </w:numPr>
        <w:spacing w:before="108" w:after="108"/>
        <w:rPr>
          <w:rFonts w:eastAsia="宋体"/>
          <w:b/>
          <w:bCs/>
          <w:sz w:val="22"/>
          <w:szCs w:val="28"/>
        </w:rPr>
      </w:pPr>
      <w:r>
        <w:rPr>
          <w:rFonts w:hint="eastAsia" w:eastAsia="宋体"/>
          <w:b/>
          <w:bCs/>
          <w:sz w:val="22"/>
          <w:szCs w:val="28"/>
        </w:rPr>
        <w:t>TS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2"/>
                <w:numId w:val="0"/>
              </w:numPr>
              <w:spacing w:before="180" w:after="180"/>
              <w:rPr>
                <w:color w:val="000000"/>
                <w:lang w:val="en-US"/>
              </w:rPr>
            </w:pPr>
            <w:bookmarkStart w:id="1" w:name="_Toc45810634"/>
            <w:bookmarkStart w:id="2" w:name="_Toc36645585"/>
            <w:bookmarkStart w:id="3" w:name="_Toc130409841"/>
            <w:bookmarkStart w:id="4" w:name="_Toc29673362"/>
            <w:bookmarkStart w:id="5" w:name="_Toc29674355"/>
            <w:bookmarkStart w:id="6" w:name="_Toc11352159"/>
            <w:bookmarkStart w:id="7" w:name="_Toc27299947"/>
            <w:bookmarkStart w:id="8" w:name="_Toc20318049"/>
            <w:bookmarkStart w:id="9" w:name="_Toc29673221"/>
            <w:r>
              <w:rPr>
                <w:color w:val="000000"/>
                <w:lang w:val="en-US"/>
              </w:rPr>
              <w:t>6.2.1.2</w:t>
            </w:r>
            <w:r>
              <w:rPr>
                <w:color w:val="000000"/>
                <w:lang w:val="en-US"/>
              </w:rPr>
              <w:tab/>
            </w:r>
            <w:r>
              <w:rPr>
                <w:color w:val="000000"/>
                <w:lang w:val="en-US"/>
              </w:rPr>
              <w:t xml:space="preserve">UE </w:t>
            </w:r>
            <w:r>
              <w:rPr>
                <w:color w:val="000000"/>
                <w:lang w:val="en-GB"/>
              </w:rPr>
              <w:t>sounding procedure for DL CSI acquisition</w:t>
            </w:r>
            <w:bookmarkEnd w:id="1"/>
            <w:bookmarkEnd w:id="2"/>
            <w:bookmarkEnd w:id="3"/>
            <w:bookmarkEnd w:id="4"/>
            <w:bookmarkEnd w:id="5"/>
            <w:bookmarkEnd w:id="6"/>
            <w:bookmarkEnd w:id="7"/>
            <w:bookmarkEnd w:id="8"/>
            <w:bookmarkEnd w:id="9"/>
          </w:p>
          <w:p>
            <w:pPr>
              <w:spacing w:before="108" w:after="108"/>
              <w:jc w:val="center"/>
              <w:rPr>
                <w:rFonts w:ascii="Times" w:hAnsi="Times" w:eastAsia="宋体"/>
                <w:color w:val="FF0000"/>
                <w:szCs w:val="28"/>
              </w:rPr>
            </w:pPr>
            <w:r>
              <w:rPr>
                <w:rFonts w:hint="eastAsia" w:ascii="Times" w:hAnsi="Times" w:eastAsia="宋体"/>
                <w:color w:val="FF0000"/>
                <w:szCs w:val="28"/>
              </w:rPr>
              <w:t>&lt;Unrelated parts are omitted&gt;</w:t>
            </w:r>
          </w:p>
          <w:p>
            <w:pPr>
              <w:pStyle w:val="68"/>
              <w:spacing w:before="108" w:after="108"/>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1T=1R, or </w:t>
            </w:r>
            <w:r>
              <w:rPr>
                <w:rFonts w:eastAsia="MS Mincho"/>
                <w:iCs/>
                <w:highlight w:val="yellow"/>
                <w:lang w:eastAsia="ja-JP"/>
              </w:rPr>
              <w:t>2T=2R</w:t>
            </w:r>
            <w:r>
              <w:rPr>
                <w:rFonts w:eastAsia="MS Mincho"/>
                <w:iCs/>
                <w:lang w:eastAsia="ja-JP"/>
              </w:rPr>
              <w:t xml:space="preserve">, or </w:t>
            </w:r>
            <w:r>
              <w:rPr>
                <w:rFonts w:eastAsia="MS Mincho"/>
                <w:iCs/>
                <w:highlight w:val="green"/>
                <w:lang w:eastAsia="ja-JP"/>
              </w:rPr>
              <w:t>4T=4R</w:t>
            </w:r>
            <w:r>
              <w:rPr>
                <w:rFonts w:eastAsia="MS Mincho"/>
                <w:iCs/>
                <w:lang w:eastAsia="ja-JP"/>
              </w:rPr>
              <w:t xml:space="preserve">, </w:t>
            </w:r>
            <w:r>
              <w:rPr>
                <w:rFonts w:eastAsia="MS Mincho"/>
                <w:iCs/>
                <w:color w:val="000000" w:themeColor="text1"/>
                <w:lang w:eastAsia="ja-JP"/>
                <w14:textFill>
                  <w14:solidFill>
                    <w14:schemeClr w14:val="tx1"/>
                  </w14:solidFill>
                </w14:textFill>
              </w:rPr>
              <w:t xml:space="preserve">up to two SRS resource sets </w:t>
            </w:r>
            <w:r>
              <w:rPr>
                <w:rFonts w:eastAsia="MS Mincho"/>
                <w:iCs/>
                <w:color w:val="000000" w:themeColor="text1"/>
                <w:highlight w:val="green"/>
                <w:lang w:eastAsia="ja-JP"/>
                <w14:textFill>
                  <w14:solidFill>
                    <w14:schemeClr w14:val="tx1"/>
                  </w14:solidFill>
                </w14:textFill>
              </w:rPr>
              <w:t>each with one SRS resource can be configured</w:t>
            </w:r>
            <w:r>
              <w:rPr>
                <w:rFonts w:eastAsia="MS Mincho"/>
                <w:iCs/>
                <w:color w:val="000000" w:themeColor="text1"/>
                <w:lang w:eastAsia="ja-JP"/>
                <w14:textFill>
                  <w14:solidFill>
                    <w14:schemeClr w14:val="tx1"/>
                  </w14:solidFill>
                </w14:textFill>
              </w:rPr>
              <w:t xml:space="preserve">, where the number of SRS ports for each resource is equal to 1, 2, or 4 </w:t>
            </w:r>
            <w:r>
              <w:rPr>
                <w:rFonts w:eastAsia="MS Mincho"/>
                <w:color w:val="000000" w:themeColor="text1"/>
                <w14:textFill>
                  <w14:solidFill>
                    <w14:schemeClr w14:val="tx1"/>
                  </w14:solidFill>
                </w14:textFill>
              </w:rPr>
              <w:t xml:space="preserve">if the UE is not indicating </w:t>
            </w:r>
            <w:r>
              <w:rPr>
                <w:i/>
                <w:iCs/>
              </w:rPr>
              <w:t>srs-AntennaSwitching2SP-1Periodic</w:t>
            </w:r>
            <w:r>
              <w:rPr>
                <w:rFonts w:eastAsia="MS Mincho"/>
                <w:color w:val="000000" w:themeColor="text1"/>
                <w:lang w:val="en-GB"/>
                <w14:textFill>
                  <w14:solidFill>
                    <w14:schemeClr w14:val="tx1"/>
                  </w14:solidFill>
                </w14:textFill>
              </w:rPr>
              <w:t>.</w:t>
            </w:r>
            <w:r>
              <w:rPr>
                <w:rFonts w:eastAsia="MS Mincho"/>
                <w:color w:val="000000" w:themeColor="text1"/>
                <w14:textFill>
                  <w14:solidFill>
                    <w14:schemeClr w14:val="tx1"/>
                  </w14:solidFill>
                </w14:textFill>
              </w:rPr>
              <w:t xml:space="preserve"> </w:t>
            </w:r>
            <w:r>
              <w:rPr>
                <w:rFonts w:eastAsia="MS Mincho"/>
                <w:color w:val="000000" w:themeColor="text1"/>
                <w:lang w:val="en-GB"/>
                <w14:textFill>
                  <w14:solidFill>
                    <w14:schemeClr w14:val="tx1"/>
                  </w14:solidFill>
                </w14:textFill>
              </w:rPr>
              <w:t>T</w:t>
            </w:r>
            <w:r>
              <w:rPr>
                <w:rFonts w:eastAsia="MS Mincho"/>
                <w:color w:val="000000" w:themeColor="text1"/>
                <w14:textFill>
                  <w14:solidFill>
                    <w14:schemeClr w14:val="tx1"/>
                  </w14:solidFill>
                </w14:textFill>
              </w:rPr>
              <w:t xml:space="preserve">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14:textFill>
                  <w14:solidFill>
                    <w14:schemeClr w14:val="tx1"/>
                  </w14:solidFill>
                </w14:textFill>
              </w:rPr>
              <w:t xml:space="preserve">can be configured and </w:t>
            </w:r>
            <w:r>
              <w:rPr>
                <w:color w:val="000000" w:themeColor="text1"/>
                <w:sz w:val="18"/>
                <w:szCs w:val="18"/>
                <w:highlight w:val="yellow"/>
                <w14:textFill>
                  <w14:solidFill>
                    <w14:schemeClr w14:val="tx1"/>
                  </w14:solidFill>
                </w14:textFill>
              </w:rPr>
              <w:t>the two SRS resource sets configured with '</w:t>
            </w:r>
            <w:r>
              <w:rPr>
                <w:i/>
                <w:color w:val="000000" w:themeColor="text1"/>
                <w:sz w:val="18"/>
                <w:szCs w:val="18"/>
                <w:highlight w:val="yellow"/>
                <w14:textFill>
                  <w14:solidFill>
                    <w14:schemeClr w14:val="tx1"/>
                  </w14:solidFill>
                </w14:textFill>
              </w:rPr>
              <w:t>semi-persistent</w:t>
            </w:r>
            <w:r>
              <w:rPr>
                <w:color w:val="000000" w:themeColor="text1"/>
                <w:sz w:val="18"/>
                <w:szCs w:val="18"/>
                <w:highlight w:val="yellow"/>
                <w14:textFill>
                  <w14:solidFill>
                    <w14:schemeClr w14:val="tx1"/>
                  </w14:solidFill>
                </w14:textFill>
              </w:rPr>
              <w:t>' are not activated at the same time</w:t>
            </w:r>
            <w:r>
              <w:rPr>
                <w:color w:val="000000" w:themeColor="text1"/>
                <w:sz w:val="18"/>
                <w:szCs w:val="18"/>
                <w14:textFill>
                  <w14:solidFill>
                    <w14:schemeClr w14:val="tx1"/>
                  </w14:solidFill>
                </w14:textFill>
              </w:rPr>
              <w:t>, or up to two SRS resource sets can be configured,</w:t>
            </w:r>
            <w:r>
              <w:rPr>
                <w:rFonts w:eastAsia="MS Mincho"/>
                <w:color w:val="000000" w:themeColor="text1"/>
                <w14:textFill>
                  <w14:solidFill>
                    <w14:schemeClr w14:val="tx1"/>
                  </w14:solidFill>
                </w14:textFill>
              </w:rPr>
              <w:t xml:space="preserve"> if the UE is indicating </w:t>
            </w:r>
            <w:r>
              <w:rPr>
                <w:i/>
                <w:iCs/>
              </w:rPr>
              <w:t>srs-AntennaSwitching2SP-1Periodic</w:t>
            </w:r>
            <w:r>
              <w:rPr>
                <w:rFonts w:eastAsia="MS Mincho"/>
                <w:color w:val="000000" w:themeColor="text1"/>
                <w14:textFill>
                  <w14:solidFill>
                    <w14:schemeClr w14:val="tx1"/>
                  </w14:solidFill>
                </w14:textFill>
              </w:rPr>
              <w:t xml:space="preserve">, </w:t>
            </w:r>
            <w:r>
              <w:rPr>
                <w:rFonts w:eastAsia="MS Mincho"/>
                <w:color w:val="000000" w:themeColor="text1"/>
                <w:highlight w:val="green"/>
                <w14:textFill>
                  <w14:solidFill>
                    <w14:schemeClr w14:val="tx1"/>
                  </w14:solidFill>
                </w14:textFill>
              </w:rPr>
              <w:t>where each SRS resource set has one SRS resource</w:t>
            </w:r>
            <w:r>
              <w:rPr>
                <w:rFonts w:eastAsia="MS Mincho"/>
                <w:color w:val="000000" w:themeColor="text1"/>
                <w14:textFill>
                  <w14:solidFill>
                    <w14:schemeClr w14:val="tx1"/>
                  </w14:solidFill>
                </w14:textFill>
              </w:rPr>
              <w:t>, the number of SRS ports for each resource is equal to 1, 2, or 4</w:t>
            </w:r>
            <w:r>
              <w:rPr>
                <w:rFonts w:eastAsia="MS Mincho"/>
                <w:iCs/>
                <w:color w:val="000000" w:themeColor="text1"/>
                <w:lang w:eastAsia="ja-JP"/>
                <w14:textFill>
                  <w14:solidFill>
                    <w14:schemeClr w14:val="tx1"/>
                  </w14:solidFill>
                </w14:textFill>
              </w:rPr>
              <w:t>, or</w:t>
            </w:r>
          </w:p>
          <w:p>
            <w:pPr>
              <w:spacing w:before="108" w:after="108"/>
              <w:jc w:val="center"/>
              <w:rPr>
                <w:rFonts w:ascii="Times" w:hAnsi="Times" w:eastAsia="宋体"/>
                <w:color w:val="FF0000"/>
                <w:szCs w:val="28"/>
              </w:rPr>
            </w:pPr>
            <w:r>
              <w:rPr>
                <w:rFonts w:hint="eastAsia" w:ascii="Times" w:hAnsi="Times" w:eastAsia="宋体"/>
                <w:color w:val="FF0000"/>
                <w:szCs w:val="28"/>
              </w:rPr>
              <w:t>&lt;Unrelated parts are omitted&gt;</w:t>
            </w:r>
          </w:p>
          <w:p>
            <w:pPr>
              <w:spacing w:before="108" w:after="108"/>
              <w:rPr>
                <w:rFonts w:eastAsia="宋体"/>
                <w:iCs/>
                <w:color w:val="000000" w:themeColor="text1"/>
                <w14:textFill>
                  <w14:solidFill>
                    <w14:schemeClr w14:val="tx1"/>
                  </w14:solidFill>
                </w14:textFill>
              </w:rPr>
            </w:pPr>
            <w:r>
              <w:rPr>
                <w:rFonts w:ascii="Times" w:hAnsi="Times" w:eastAsia="Batang"/>
                <w:szCs w:val="28"/>
              </w:rPr>
              <w:t xml:space="preserve">In the case that more than one SRS resource set configured with </w:t>
            </w:r>
            <w:r>
              <w:rPr>
                <w:rFonts w:ascii="Times" w:hAnsi="Times" w:eastAsia="Batang"/>
                <w:i/>
                <w:szCs w:val="28"/>
              </w:rPr>
              <w:t>resourceType</w:t>
            </w:r>
            <w:r>
              <w:rPr>
                <w:rFonts w:ascii="Times" w:hAnsi="Times" w:eastAsia="Batang"/>
                <w:szCs w:val="28"/>
              </w:rPr>
              <w:t xml:space="preserve"> in </w:t>
            </w:r>
            <w:r>
              <w:rPr>
                <w:rFonts w:ascii="Times" w:hAnsi="Times" w:eastAsia="Batang"/>
                <w:i/>
                <w:szCs w:val="28"/>
              </w:rPr>
              <w:t>SRS-ResourceSet</w:t>
            </w:r>
            <w:r>
              <w:rPr>
                <w:rFonts w:ascii="Times" w:hAnsi="Times" w:eastAsia="Batang"/>
                <w:szCs w:val="28"/>
              </w:rPr>
              <w:t xml:space="preserve"> set to ‘aperiodic’, </w:t>
            </w:r>
            <w:r>
              <w:rPr>
                <w:rFonts w:ascii="Times" w:hAnsi="Times" w:eastAsia="Batang"/>
                <w:szCs w:val="28"/>
                <w:highlight w:val="yellow"/>
              </w:rPr>
              <w:t xml:space="preserve">the UE shall expect that the more than one set are configured with the same values of the higher layer parameters </w:t>
            </w:r>
            <w:r>
              <w:rPr>
                <w:rFonts w:ascii="Times" w:hAnsi="Times" w:eastAsia="Batang"/>
                <w:i/>
                <w:szCs w:val="28"/>
                <w:highlight w:val="yellow"/>
              </w:rPr>
              <w:t>alpha</w:t>
            </w:r>
            <w:r>
              <w:rPr>
                <w:rFonts w:ascii="Times" w:hAnsi="Times" w:eastAsia="Batang"/>
                <w:szCs w:val="28"/>
                <w:highlight w:val="yellow"/>
              </w:rPr>
              <w:t xml:space="preserve">, </w:t>
            </w:r>
            <w:r>
              <w:rPr>
                <w:rFonts w:ascii="Times" w:hAnsi="Times" w:eastAsia="Batang"/>
                <w:i/>
                <w:szCs w:val="28"/>
                <w:highlight w:val="yellow"/>
              </w:rPr>
              <w:t>p0</w:t>
            </w:r>
            <w:r>
              <w:rPr>
                <w:rFonts w:ascii="Times" w:hAnsi="Times" w:eastAsia="Batang"/>
                <w:szCs w:val="28"/>
                <w:highlight w:val="yellow"/>
              </w:rPr>
              <w:t xml:space="preserve">, </w:t>
            </w:r>
            <w:r>
              <w:rPr>
                <w:rFonts w:ascii="Times" w:hAnsi="Times" w:eastAsia="Batang"/>
                <w:i/>
                <w:szCs w:val="28"/>
                <w:highlight w:val="yellow"/>
              </w:rPr>
              <w:t>pathlossReferenceRS</w:t>
            </w:r>
            <w:r>
              <w:rPr>
                <w:rFonts w:ascii="Times" w:hAnsi="Times" w:eastAsia="Batang"/>
                <w:szCs w:val="28"/>
                <w:highlight w:val="yellow"/>
              </w:rPr>
              <w:t xml:space="preserve">, and </w:t>
            </w:r>
            <w:r>
              <w:rPr>
                <w:rFonts w:ascii="Times" w:hAnsi="Times" w:eastAsia="Batang"/>
                <w:i/>
                <w:szCs w:val="28"/>
                <w:highlight w:val="yellow"/>
              </w:rPr>
              <w:t>srs-PowerControlAdjustmentStates</w:t>
            </w:r>
            <w:r>
              <w:rPr>
                <w:rFonts w:ascii="Times" w:hAnsi="Times" w:eastAsia="Batang"/>
                <w:szCs w:val="28"/>
                <w:highlight w:val="yellow"/>
              </w:rPr>
              <w:t xml:space="preserve"> in </w:t>
            </w:r>
            <w:r>
              <w:rPr>
                <w:rFonts w:ascii="Times" w:hAnsi="Times" w:eastAsia="Batang"/>
                <w:i/>
                <w:szCs w:val="28"/>
                <w:highlight w:val="yellow"/>
              </w:rPr>
              <w:t>SRS-ResourceSet</w:t>
            </w:r>
            <w:r>
              <w:rPr>
                <w:rFonts w:ascii="Times" w:hAnsi="Times" w:eastAsia="Batang"/>
                <w:szCs w:val="28"/>
                <w:highlight w:val="yellow"/>
              </w:rPr>
              <w:t>.</w:t>
            </w:r>
          </w:p>
          <w:p>
            <w:pPr>
              <w:spacing w:before="108" w:after="108"/>
              <w:rPr>
                <w:rFonts w:ascii="Times" w:hAnsi="Times" w:eastAsia="Batang"/>
                <w:szCs w:val="28"/>
              </w:rPr>
            </w:pPr>
            <w:r>
              <w:t xml:space="preserve">For 1T2R, 1T4R, 2T4R, 1T6R, 1T8R, 2T6R, 2T8R, or 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w:t>
            </w:r>
            <w:r>
              <w:rPr>
                <w:rFonts w:ascii="Times" w:hAnsi="Times" w:eastAsia="Batang"/>
                <w:szCs w:val="28"/>
                <w:highlight w:val="yellow"/>
              </w:rPr>
              <w:t>2T=2R</w:t>
            </w:r>
            <w:r>
              <w:rPr>
                <w:rFonts w:ascii="Times" w:hAnsi="Times" w:eastAsia="Batang"/>
                <w:szCs w:val="28"/>
              </w:rPr>
              <w:t xml:space="preserve"> or 4T=4R, </w:t>
            </w:r>
            <w:r>
              <w:rPr>
                <w:rFonts w:ascii="Times" w:hAnsi="Times" w:eastAsia="Batang"/>
                <w:szCs w:val="28"/>
                <w:highlight w:val="yellow"/>
              </w:rPr>
              <w:t xml:space="preserve">the UE shall not expect to be configured or triggered with more than one SRS resource set with higher layer parameter </w:t>
            </w:r>
            <w:r>
              <w:rPr>
                <w:rFonts w:ascii="Times" w:hAnsi="Times" w:eastAsia="Batang"/>
                <w:i/>
                <w:szCs w:val="28"/>
                <w:highlight w:val="yellow"/>
              </w:rPr>
              <w:t>usage</w:t>
            </w:r>
            <w:r>
              <w:rPr>
                <w:rFonts w:ascii="Times" w:hAnsi="Times" w:eastAsia="Batang"/>
                <w:szCs w:val="28"/>
                <w:highlight w:val="yellow"/>
              </w:rPr>
              <w:t xml:space="preserve"> set as 'antennaSwitching' in the same symbol</w:t>
            </w:r>
            <w:r>
              <w:rPr>
                <w:rFonts w:ascii="Times" w:hAnsi="Times" w:eastAsia="Batang"/>
                <w:szCs w:val="28"/>
              </w:rPr>
              <w:t>.</w:t>
            </w:r>
          </w:p>
          <w:p>
            <w:pPr>
              <w:spacing w:before="108" w:after="108"/>
              <w:jc w:val="center"/>
              <w:rPr>
                <w:rFonts w:ascii="Times" w:hAnsi="Times" w:eastAsia="Batang"/>
                <w:szCs w:val="28"/>
              </w:rPr>
            </w:pPr>
            <w:r>
              <w:rPr>
                <w:rFonts w:hint="eastAsia" w:ascii="Times" w:hAnsi="Times" w:eastAsia="宋体"/>
                <w:color w:val="FF0000"/>
                <w:szCs w:val="28"/>
              </w:rPr>
              <w:t>&lt;Unrelated parts are omitted&gt;</w:t>
            </w:r>
          </w:p>
        </w:tc>
      </w:tr>
    </w:tbl>
    <w:p>
      <w:pPr>
        <w:spacing w:before="108" w:after="108"/>
        <w:rPr>
          <w:rFonts w:eastAsia="宋体"/>
        </w:rPr>
      </w:pPr>
      <w:r>
        <w:rPr>
          <w:rFonts w:hint="eastAsia" w:eastAsia="宋体"/>
        </w:rPr>
        <w:t>As a result, it can be verified that TRP/panel specific DL CSI acquisition via SRS for STxMP UE in MTRP operation cannot be acquired by the current specification, i.e. the above approach 1 and approach 2.</w:t>
      </w:r>
    </w:p>
    <w:p>
      <w:pPr>
        <w:spacing w:before="108" w:after="108"/>
        <w:rPr>
          <w:rFonts w:eastAsia="宋体"/>
          <w:i/>
          <w:iCs/>
        </w:rPr>
      </w:pPr>
      <w:r>
        <w:rPr>
          <w:rFonts w:hint="eastAsia" w:eastAsia="宋体"/>
          <w:b/>
          <w:bCs/>
          <w:i/>
          <w:iCs/>
        </w:rPr>
        <w:t xml:space="preserve">Observation 1: </w:t>
      </w:r>
      <w:r>
        <w:rPr>
          <w:rFonts w:hint="eastAsia" w:eastAsia="宋体"/>
          <w:i/>
          <w:iCs/>
        </w:rPr>
        <w:t xml:space="preserve">TRP/panel-specific DL CSI acquisition via SRS for STxMP UE in MTRP operation cannot be </w:t>
      </w:r>
      <w:r>
        <w:rPr>
          <w:rFonts w:eastAsia="宋体"/>
          <w:i/>
          <w:iCs/>
        </w:rPr>
        <w:t>supported</w:t>
      </w:r>
      <w:r>
        <w:rPr>
          <w:rFonts w:hint="eastAsia" w:eastAsia="宋体"/>
          <w:i/>
          <w:iCs/>
        </w:rPr>
        <w:t xml:space="preserve"> by the current specifications.</w:t>
      </w:r>
    </w:p>
    <w:p>
      <w:pPr>
        <w:spacing w:before="108" w:after="108"/>
        <w:rPr>
          <w:rFonts w:eastAsia="宋体"/>
        </w:rPr>
      </w:pPr>
      <w:r>
        <w:rPr>
          <w:rFonts w:hint="eastAsia" w:eastAsia="宋体"/>
        </w:rPr>
        <w:t xml:space="preserve">In order to fulfill the above feature while minimizing the specification impact as much as possible, one straightforward way is to specify that two SRS resources configured in two SRS resource sets for DL CSI acquisition can be triggered in the same time. Furthermore, to match the discrepancy of channel conditions between different panel to different TRPs, it should be supported that: 1) Each SRS resource can be configured with independent spatial relation; 2) Each SRS resource can be configured with independent power control parameters (i.e., </w:t>
      </w:r>
      <w:r>
        <w:rPr>
          <w:rFonts w:ascii="Times" w:hAnsi="Times" w:eastAsia="Batang"/>
          <w:i/>
          <w:iCs/>
          <w:szCs w:val="28"/>
        </w:rPr>
        <w:t>alpha</w:t>
      </w:r>
      <w:r>
        <w:rPr>
          <w:rFonts w:ascii="Times" w:hAnsi="Times" w:eastAsia="Batang"/>
          <w:szCs w:val="28"/>
        </w:rPr>
        <w:t xml:space="preserve">, </w:t>
      </w:r>
      <w:r>
        <w:rPr>
          <w:rFonts w:ascii="Times" w:hAnsi="Times" w:eastAsia="Batang"/>
          <w:i/>
          <w:iCs/>
          <w:szCs w:val="28"/>
        </w:rPr>
        <w:t>p0</w:t>
      </w:r>
      <w:r>
        <w:rPr>
          <w:rFonts w:ascii="Times" w:hAnsi="Times" w:eastAsia="Batang"/>
          <w:szCs w:val="28"/>
        </w:rPr>
        <w:t xml:space="preserve">, </w:t>
      </w:r>
      <w:r>
        <w:rPr>
          <w:rFonts w:ascii="Times" w:hAnsi="Times" w:eastAsia="Batang"/>
          <w:i/>
          <w:iCs/>
          <w:szCs w:val="28"/>
        </w:rPr>
        <w:t>pathlossReferenceRS</w:t>
      </w:r>
      <w:r>
        <w:rPr>
          <w:rFonts w:ascii="Times" w:hAnsi="Times" w:eastAsia="Batang"/>
          <w:szCs w:val="28"/>
        </w:rPr>
        <w:t xml:space="preserve">, and </w:t>
      </w:r>
      <w:r>
        <w:rPr>
          <w:rFonts w:ascii="Times" w:hAnsi="Times" w:eastAsia="Batang"/>
          <w:i/>
          <w:iCs/>
          <w:szCs w:val="28"/>
        </w:rPr>
        <w:t>srs-PowerControlAdjustmentStates</w:t>
      </w:r>
      <w:r>
        <w:rPr>
          <w:rFonts w:hint="eastAsia" w:eastAsia="宋体"/>
        </w:rPr>
        <w:t>); 3) SRS ports of each SRS resource can be associated with different UE antenna ports.</w:t>
      </w:r>
    </w:p>
    <w:p>
      <w:pPr>
        <w:spacing w:before="108" w:after="108"/>
        <w:rPr>
          <w:rFonts w:eastAsia="宋体"/>
          <w:i/>
          <w:iCs/>
        </w:rPr>
      </w:pPr>
      <w:r>
        <w:rPr>
          <w:rFonts w:hint="eastAsia" w:eastAsia="宋体"/>
          <w:b/>
          <w:bCs/>
          <w:i/>
          <w:iCs/>
        </w:rPr>
        <w:t xml:space="preserve">Proposal 3: </w:t>
      </w:r>
      <w:r>
        <w:rPr>
          <w:rFonts w:hint="eastAsia" w:eastAsia="宋体"/>
          <w:i/>
          <w:iCs/>
        </w:rPr>
        <w:t>To fulfill TRP/panel-specific DL CSI acquisition via SRS</w:t>
      </w:r>
      <w:r>
        <w:rPr>
          <w:rFonts w:hint="eastAsia" w:eastAsia="宋体"/>
          <w:i/>
          <w:iCs/>
          <w:lang w:val="en-US" w:eastAsia="zh-CN"/>
        </w:rPr>
        <w:t xml:space="preserve"> with xT=xR (i.e., x=1, 2 or 4) based antenna switching per panel</w:t>
      </w:r>
      <w:r>
        <w:rPr>
          <w:rFonts w:hint="eastAsia" w:eastAsia="宋体"/>
          <w:i/>
          <w:iCs/>
        </w:rPr>
        <w:t xml:space="preserve"> for STxMP UE in MTRP operation, support that two SRS resources </w:t>
      </w:r>
      <w:r>
        <w:rPr>
          <w:rFonts w:eastAsia="宋体"/>
          <w:i/>
          <w:iCs/>
        </w:rPr>
        <w:t xml:space="preserve">for </w:t>
      </w:r>
      <w:r>
        <w:rPr>
          <w:rFonts w:hint="eastAsia" w:eastAsia="宋体"/>
          <w:i/>
          <w:iCs/>
        </w:rPr>
        <w:t xml:space="preserve">antenna switching configured in </w:t>
      </w:r>
      <w:r>
        <w:rPr>
          <w:rFonts w:eastAsia="宋体"/>
          <w:i/>
          <w:iCs/>
        </w:rPr>
        <w:t>respective</w:t>
      </w:r>
      <w:r>
        <w:rPr>
          <w:rFonts w:hint="eastAsia" w:eastAsia="宋体"/>
          <w:i/>
          <w:iCs/>
        </w:rPr>
        <w:t xml:space="preserve"> SRS resource sets for DL CSI acquisition can be triggered in the same time.,</w:t>
      </w:r>
    </w:p>
    <w:p>
      <w:pPr>
        <w:numPr>
          <w:ilvl w:val="0"/>
          <w:numId w:val="11"/>
        </w:numPr>
        <w:spacing w:before="108" w:after="108"/>
        <w:rPr>
          <w:rFonts w:eastAsia="宋体"/>
          <w:i/>
          <w:iCs/>
        </w:rPr>
      </w:pPr>
      <w:r>
        <w:rPr>
          <w:rFonts w:eastAsia="宋体"/>
          <w:i/>
          <w:iCs/>
        </w:rPr>
        <w:t>Each SRS resource can be configured with independent spatial relation.</w:t>
      </w:r>
    </w:p>
    <w:p>
      <w:pPr>
        <w:numPr>
          <w:ilvl w:val="0"/>
          <w:numId w:val="11"/>
        </w:numPr>
        <w:spacing w:before="108" w:after="108"/>
        <w:rPr>
          <w:rFonts w:eastAsia="宋体"/>
          <w:i/>
          <w:iCs/>
        </w:rPr>
      </w:pPr>
      <w:r>
        <w:rPr>
          <w:rFonts w:eastAsia="宋体"/>
          <w:i/>
          <w:iCs/>
        </w:rPr>
        <w:t xml:space="preserve">Each </w:t>
      </w:r>
      <w:r>
        <w:rPr>
          <w:rFonts w:hint="eastAsia" w:eastAsia="宋体"/>
          <w:i/>
          <w:iCs/>
        </w:rPr>
        <w:t>S</w:t>
      </w:r>
      <w:r>
        <w:rPr>
          <w:rFonts w:eastAsia="宋体"/>
          <w:i/>
          <w:iCs/>
        </w:rPr>
        <w:t xml:space="preserve">RS resource can be configured with independent PC parameters, </w:t>
      </w:r>
      <w:r>
        <w:rPr>
          <w:rFonts w:hint="eastAsia" w:eastAsia="宋体"/>
          <w:i/>
          <w:iCs/>
        </w:rPr>
        <w:t>which including</w:t>
      </w:r>
      <w:r>
        <w:rPr>
          <w:rFonts w:eastAsia="宋体"/>
          <w:i/>
          <w:iCs/>
        </w:rPr>
        <w:t xml:space="preserve"> </w:t>
      </w:r>
      <w:r>
        <w:rPr>
          <w:rFonts w:eastAsia="Batang"/>
          <w:i/>
          <w:iCs/>
          <w:szCs w:val="28"/>
        </w:rPr>
        <w:t>alpha, p0, pathlossReferenceRS, and srs-PowerControlAdjustmentStates</w:t>
      </w:r>
      <w:r>
        <w:rPr>
          <w:rFonts w:eastAsia="宋体"/>
          <w:i/>
          <w:iCs/>
        </w:rPr>
        <w:t>.</w:t>
      </w:r>
    </w:p>
    <w:p>
      <w:pPr>
        <w:numPr>
          <w:ilvl w:val="0"/>
          <w:numId w:val="11"/>
        </w:numPr>
        <w:spacing w:before="108" w:after="108"/>
        <w:rPr>
          <w:rFonts w:eastAsia="宋体"/>
          <w:i/>
          <w:iCs/>
        </w:rPr>
      </w:pPr>
      <w:r>
        <w:rPr>
          <w:rFonts w:eastAsia="宋体"/>
          <w:i/>
          <w:iCs/>
        </w:rPr>
        <w:t>SRS ports of each SRS resource can be associated with different UE antenna ports.</w:t>
      </w:r>
    </w:p>
    <w:p>
      <w:pPr>
        <w:pStyle w:val="3"/>
        <w:spacing w:before="360" w:beforeLines="100" w:after="180"/>
        <w:ind w:left="431" w:hanging="431"/>
        <w:rPr>
          <w:lang w:val="en-US"/>
        </w:rPr>
      </w:pPr>
      <w:r>
        <w:rPr>
          <w:rFonts w:hint="eastAsia"/>
          <w:lang w:val="en-US"/>
        </w:rPr>
        <w:t>Mapping between layers and antenna ports</w:t>
      </w:r>
    </w:p>
    <w:p>
      <w:pPr>
        <w:spacing w:before="108" w:after="108"/>
        <w:rPr>
          <w:rFonts w:eastAsia="宋体" w:cs="Times"/>
          <w:bCs/>
          <w:szCs w:val="20"/>
        </w:rPr>
      </w:pPr>
      <w:r>
        <w:rPr>
          <w:rFonts w:hint="eastAsia" w:eastAsia="宋体"/>
        </w:rPr>
        <w:t xml:space="preserve">For single DCI based STxMP PUSCH transmission in SDM scheme, </w:t>
      </w:r>
      <w:r>
        <w:rPr>
          <w:rFonts w:cs="Times"/>
          <w:bCs/>
          <w:szCs w:val="20"/>
        </w:rPr>
        <w:t>different layers/DMRS ports of one PUSCH are separately precoded and transmitted from different UE panels simultaneously</w:t>
      </w:r>
      <w:r>
        <w:rPr>
          <w:rFonts w:hint="eastAsia" w:eastAsia="宋体" w:cs="Times"/>
          <w:bCs/>
          <w:szCs w:val="20"/>
        </w:rPr>
        <w:t>. From the perspective of codeword processing, the single codeword to be transmitted is mapped onto four layers, then each set of layers is precoded and transmitted by each set of antenna ports.</w:t>
      </w:r>
    </w:p>
    <w:p>
      <w:pPr>
        <w:spacing w:before="108" w:after="108"/>
        <w:rPr>
          <w:rFonts w:eastAsia="宋体" w:cs="Times"/>
          <w:bCs/>
          <w:szCs w:val="20"/>
        </w:rPr>
      </w:pPr>
      <w:r>
        <w:rPr>
          <w:rFonts w:hint="eastAsia" w:eastAsia="宋体" w:cs="Times"/>
          <w:bCs/>
          <w:szCs w:val="20"/>
        </w:rPr>
        <w:t>As an example depicted in Figure 2, TPMI 1 is used to indicate the precoder to be applied over PUSCH layers {0, 1} with PUSCH DMRS ports {0000, 0001}, and TPMI 2 is used to indicate the precoder to be applied over PUSCH layers {2, 3} with PUSCH DMRS ports {0002, 0003}, respectively. Wherein, the number of PUSCH layers corresponding to one precoder is determined by the indicated TPMI and the number of PUSCH DMRS port corresponding to one precoder is determined by the indicated SRI.</w:t>
      </w:r>
    </w:p>
    <w:p>
      <w:pPr>
        <w:spacing w:before="108" w:after="108"/>
        <w:jc w:val="center"/>
      </w:pPr>
      <w:r>
        <w:drawing>
          <wp:inline distT="0" distB="0" distL="114300" distR="114300">
            <wp:extent cx="5339080" cy="1465580"/>
            <wp:effectExtent l="0" t="0" r="10160" b="12700"/>
            <wp:docPr id="1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6"/>
                    <pic:cNvPicPr>
                      <a:picLocks noChangeAspect="1"/>
                    </pic:cNvPicPr>
                  </pic:nvPicPr>
                  <pic:blipFill>
                    <a:blip r:embed="rId11"/>
                    <a:stretch>
                      <a:fillRect/>
                    </a:stretch>
                  </pic:blipFill>
                  <pic:spPr>
                    <a:xfrm>
                      <a:off x="0" y="0"/>
                      <a:ext cx="5339080" cy="1465580"/>
                    </a:xfrm>
                    <a:prstGeom prst="rect">
                      <a:avLst/>
                    </a:prstGeom>
                    <a:noFill/>
                    <a:ln>
                      <a:noFill/>
                    </a:ln>
                  </pic:spPr>
                </pic:pic>
              </a:graphicData>
            </a:graphic>
          </wp:inline>
        </w:drawing>
      </w:r>
    </w:p>
    <w:p>
      <w:pPr>
        <w:spacing w:before="108" w:after="288" w:afterLines="80"/>
        <w:jc w:val="center"/>
        <w:rPr>
          <w:rFonts w:eastAsia="宋体"/>
          <w:b/>
          <w:bCs/>
        </w:rPr>
      </w:pPr>
      <w:r>
        <w:rPr>
          <w:rFonts w:hint="eastAsia" w:eastAsia="宋体"/>
          <w:b/>
          <w:bCs/>
        </w:rPr>
        <w:t>Figure 2</w:t>
      </w:r>
      <w:r>
        <w:rPr>
          <w:rFonts w:hint="eastAsia" w:eastAsia="宋体"/>
          <w:b/>
          <w:bCs/>
        </w:rPr>
        <w:tab/>
      </w:r>
      <w:r>
        <w:rPr>
          <w:rFonts w:hint="eastAsia" w:eastAsia="宋体"/>
          <w:b/>
          <w:bCs/>
        </w:rPr>
        <w:t>Mapping between layers and antenna ports per precoder for single DCI based STxMP PUSCH in SDM scheme</w:t>
      </w:r>
    </w:p>
    <w:p>
      <w:pPr>
        <w:spacing w:before="108" w:after="108"/>
        <w:rPr>
          <w:rFonts w:eastAsia="宋体"/>
        </w:rPr>
      </w:pPr>
      <w:r>
        <w:rPr>
          <w:rFonts w:hint="eastAsia" w:eastAsia="宋体"/>
        </w:rPr>
        <w:t xml:space="preserve">According to the current specification in TS38.211 with respect to PUSCH precoding, all layers of PUSCH and all antenna ports of PUSCH are precoded through a single precoding matrix </w:t>
      </w:r>
      <w:r>
        <w:rPr>
          <w:rFonts w:hint="eastAsia" w:eastAsia="宋体"/>
          <w:i/>
          <w:iCs/>
        </w:rPr>
        <w:t>W</w:t>
      </w:r>
      <w:r>
        <w:rPr>
          <w:rFonts w:hint="eastAsia" w:eastAsia="宋体"/>
        </w:rPr>
        <w:t>. However, as per the above explanation in details, precoding procedure of STxMP PUSCH transmission in SDM scheme should be that two sets of PUSCH layers and two sets of PUSCH antenna ports are precoded by two precoding matrices, respectively.</w:t>
      </w:r>
    </w:p>
    <w:p>
      <w:pPr>
        <w:numPr>
          <w:ilvl w:val="0"/>
          <w:numId w:val="14"/>
        </w:numPr>
        <w:spacing w:before="108" w:after="108"/>
        <w:rPr>
          <w:rFonts w:eastAsia="宋体"/>
          <w:b/>
          <w:bCs/>
        </w:rPr>
      </w:pPr>
      <w:r>
        <w:rPr>
          <w:rFonts w:hint="eastAsia" w:eastAsia="宋体"/>
          <w:b/>
          <w:bCs/>
        </w:rPr>
        <w:t>TS38.211, Subclause 6.3.1.5</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before="108" w:after="108"/>
              <w:jc w:val="center"/>
            </w:pPr>
            <w:bookmarkStart w:id="10" w:name="_Hlk496880698"/>
            <w:r>
              <w:rPr>
                <w:rFonts w:hint="eastAsia" w:eastAsia="宋体"/>
                <w:color w:val="FF0000"/>
              </w:rPr>
              <w:t>&lt;Unrelated parts are omitted&gt;</w:t>
            </w:r>
          </w:p>
          <w:p>
            <w:pPr>
              <w:spacing w:before="108" w:after="108"/>
            </w:pPr>
            <w:r>
              <w:t xml:space="preserve">The block of vectors </w:t>
            </w:r>
            <w:r>
              <w:rPr>
                <w:position w:val="-10"/>
              </w:rPr>
              <w:object>
                <v:shape id="_x0000_i1025" o:spt="75" type="#_x0000_t75" style="height:20.5pt;width:97.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 xml:space="preserve">, </w:t>
            </w:r>
            <w:r>
              <w:rPr>
                <w:position w:val="-14"/>
              </w:rPr>
              <w:object>
                <v:shape id="_x0000_i1026" o:spt="75" type="#_x0000_t75" style="height:19.4pt;width:80.3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t xml:space="preserve"> shall be precoded according to</w:t>
            </w:r>
          </w:p>
          <w:p>
            <w:pPr>
              <w:pStyle w:val="40"/>
              <w:spacing w:before="108" w:after="108"/>
              <w:jc w:val="center"/>
            </w:pPr>
            <w:r>
              <w:rPr>
                <w:position w:val="-48"/>
              </w:rPr>
              <w:object>
                <v:shape id="_x0000_i1027" o:spt="75" type="#_x0000_t75" style="height:53.15pt;width:109.6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p>
          <w:p>
            <w:pPr>
              <w:spacing w:before="108" w:after="108"/>
            </w:pPr>
            <w:r>
              <w:t xml:space="preserve">where </w:t>
            </w:r>
            <w:r>
              <w:rPr>
                <w:position w:val="-14"/>
              </w:rPr>
              <w:object>
                <v:shape id="_x0000_i1028" o:spt="75" type="#_x0000_t75" style="height:18.85pt;width:78.6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t xml:space="preserve">, </w:t>
            </w:r>
            <w:r>
              <w:rPr>
                <w:position w:val="-14"/>
              </w:rPr>
              <w:object>
                <v:shape id="_x0000_i1029" o:spt="75" type="#_x0000_t75" style="height:18.85pt;width:63.7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t xml:space="preserve">. The set of antenna ports </w:t>
            </w:r>
            <w:r>
              <w:rPr>
                <w:position w:val="-12"/>
              </w:rPr>
              <w:object>
                <v:shape id="_x0000_i1030" o:spt="75" type="#_x0000_t75" style="height:15.5pt;width:48.7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t xml:space="preserve"> shall be determined according to the procedure in [6, TS 38.214]. </w:t>
            </w:r>
          </w:p>
          <w:p>
            <w:pPr>
              <w:spacing w:before="108" w:after="108"/>
            </w:pPr>
            <w:r>
              <w:t xml:space="preserve">For non-codebook-based transmission, the precoding matrix </w:t>
            </w:r>
            <m:oMath>
              <m:r>
                <w:rPr>
                  <w:rFonts w:ascii="Cambria Math" w:hAnsi="Cambria Math"/>
                </w:rPr>
                <m:t>W</m:t>
              </m:r>
            </m:oMath>
            <w:r>
              <w:t xml:space="preserve"> equals the identity matrix.</w:t>
            </w:r>
          </w:p>
          <w:p>
            <w:pPr>
              <w:spacing w:before="108" w:after="108"/>
            </w:pPr>
            <w:r>
              <w:rPr>
                <w:highlight w:val="yellow"/>
              </w:rPr>
              <w:t xml:space="preserve">For codebook-based transmission, </w:t>
            </w:r>
            <w:r>
              <w:t xml:space="preserve">the precoding matrix </w:t>
            </w:r>
            <m:oMath>
              <m:r>
                <w:rPr>
                  <w:rFonts w:ascii="Cambria Math" w:hAnsi="Cambria Math"/>
                </w:rPr>
                <m:t>W</m:t>
              </m:r>
            </m:oMath>
            <w:r>
              <w:t xml:space="preserve"> is given by </w:t>
            </w:r>
            <m:oMath>
              <m:r>
                <w:rPr>
                  <w:rFonts w:ascii="Cambria Math" w:hAnsi="Cambria Math"/>
                </w:rPr>
                <m:t>W=1</m:t>
              </m:r>
            </m:oMath>
            <w:r>
              <w:t xml:space="preserve"> for single-layer transmission on a single antenna port, </w:t>
            </w:r>
            <w:r>
              <w:rPr>
                <w:highlight w:val="yellow"/>
              </w:rPr>
              <w:t>otherwise by Tables 6.3.1.5-1 to 6.3.1.5-7 with the TPMI index obtained from the DCI scheduling the uplink transmission</w:t>
            </w:r>
            <w:r>
              <w:rPr>
                <w:rFonts w:hint="eastAsia"/>
                <w:highlight w:val="yellow"/>
              </w:rPr>
              <w:t xml:space="preserve"> or </w:t>
            </w:r>
            <w:r>
              <w:rPr>
                <w:highlight w:val="yellow"/>
              </w:rPr>
              <w:t>the</w:t>
            </w:r>
            <w:r>
              <w:rPr>
                <w:rFonts w:hint="eastAsia"/>
                <w:highlight w:val="yellow"/>
              </w:rPr>
              <w:t xml:space="preserve"> higher layer parameter</w:t>
            </w:r>
            <w:r>
              <w:rPr>
                <w:highlight w:val="yellow"/>
              </w:rPr>
              <w:t>s</w:t>
            </w:r>
            <w:r>
              <w:rPr>
                <w:rFonts w:hint="eastAsia"/>
                <w:highlight w:val="yellow"/>
              </w:rPr>
              <w:t xml:space="preserve"> </w:t>
            </w:r>
            <w:r>
              <w:rPr>
                <w:highlight w:val="yellow"/>
              </w:rPr>
              <w:t>according to the procedure in [6, TS 38.214].</w:t>
            </w:r>
            <w:r>
              <w:t xml:space="preserve"> </w:t>
            </w:r>
          </w:p>
          <w:p>
            <w:pPr>
              <w:spacing w:before="108" w:after="108"/>
            </w:pPr>
            <w:r>
              <w:t xml:space="preserve">When the higher-layer parameter </w:t>
            </w:r>
            <w:r>
              <w:rPr>
                <w:i/>
              </w:rPr>
              <w:t>txConfig</w:t>
            </w:r>
            <w:r>
              <w:t xml:space="preserve"> is not configured, the precoding matrix </w:t>
            </w:r>
            <m:oMath>
              <m:r>
                <w:rPr>
                  <w:rFonts w:ascii="Cambria Math" w:hAnsi="Cambria Math"/>
                </w:rPr>
                <m:t>W=1</m:t>
              </m:r>
            </m:oMath>
            <w:r>
              <w:t>.</w:t>
            </w:r>
          </w:p>
          <w:bookmarkEnd w:id="10"/>
          <w:p>
            <w:pPr>
              <w:spacing w:before="108" w:after="108"/>
              <w:jc w:val="center"/>
              <w:rPr>
                <w:rFonts w:eastAsia="宋体"/>
              </w:rPr>
            </w:pPr>
            <w:r>
              <w:rPr>
                <w:rFonts w:hint="eastAsia" w:eastAsia="宋体"/>
                <w:color w:val="FF0000"/>
              </w:rPr>
              <w:t>&lt;Unrelated parts are omitted&gt;</w:t>
            </w:r>
          </w:p>
        </w:tc>
      </w:tr>
    </w:tbl>
    <w:p>
      <w:pPr>
        <w:spacing w:before="288" w:beforeLines="80" w:after="108"/>
        <w:rPr>
          <w:rFonts w:eastAsia="宋体"/>
          <w:b/>
          <w:bCs/>
        </w:rPr>
      </w:pPr>
      <w:r>
        <w:rPr>
          <w:rFonts w:hint="eastAsia" w:eastAsia="宋体"/>
        </w:rPr>
        <w:t>In the meantime, according to the following endorsed CR in the last meeting on single DCI based STxMP SDM PUSCH [2], it can be noticed that the definition of PUSCH antenna ports to be precoded by each TPMI is quite unclear.</w:t>
      </w:r>
    </w:p>
    <w:p>
      <w:pPr>
        <w:numPr>
          <w:ilvl w:val="0"/>
          <w:numId w:val="14"/>
        </w:numPr>
        <w:spacing w:before="108" w:after="108"/>
        <w:rPr>
          <w:rFonts w:eastAsia="宋体"/>
          <w:b/>
          <w:bCs/>
        </w:rPr>
      </w:pPr>
      <w:r>
        <w:rPr>
          <w:rFonts w:hint="eastAsia" w:eastAsia="宋体"/>
          <w:b/>
          <w:bCs/>
        </w:rPr>
        <w:t>Endorsed CR on TS38.214, Subclause 6.1.1.1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jc w:val="center"/>
              <w:rPr>
                <w:rFonts w:eastAsia="宋体"/>
                <w:color w:val="FF0000"/>
              </w:rPr>
            </w:pPr>
            <w:r>
              <w:rPr>
                <w:rFonts w:hint="eastAsia" w:eastAsia="宋体"/>
                <w:color w:val="FF0000"/>
              </w:rPr>
              <w:t>&lt;Unrelated parts are omitted&gt;</w:t>
            </w:r>
          </w:p>
          <w:p>
            <w:pPr>
              <w:spacing w:before="108" w:after="108"/>
              <w:rPr>
                <w:color w:val="000000"/>
              </w:rPr>
            </w:pPr>
            <w:r>
              <w:rPr>
                <w:color w:val="000000"/>
              </w:rPr>
              <w:t xml:space="preserve">When 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pPr>
              <w:spacing w:before="108" w:after="108"/>
              <w:ind w:left="567" w:hanging="283"/>
              <w:rPr>
                <w:color w:val="000000"/>
              </w:rPr>
            </w:pPr>
            <w:r>
              <w:t>-</w:t>
            </w:r>
            <w:r>
              <w:tab/>
            </w:r>
            <w:r>
              <w:rPr>
                <w:color w:val="000000"/>
                <w:highlight w:val="yellow"/>
              </w:rPr>
              <w:t xml:space="preserve">When codepoint “10”  of </w:t>
            </w:r>
            <w:r>
              <w:rPr>
                <w:i/>
                <w:color w:val="000000"/>
                <w:highlight w:val="yellow"/>
              </w:rPr>
              <w:t>SRS Resource Set</w:t>
            </w:r>
            <w:r>
              <w:rPr>
                <w:color w:val="000000"/>
                <w:highlight w:val="yellow"/>
              </w:rPr>
              <w:t xml:space="preserve"> </w:t>
            </w:r>
            <w:r>
              <w:rPr>
                <w:i/>
                <w:iCs/>
                <w:color w:val="000000"/>
                <w:highlight w:val="yellow"/>
              </w:rPr>
              <w:t xml:space="preserve">indicator </w:t>
            </w:r>
            <w:r>
              <w:rPr>
                <w:color w:val="000000"/>
                <w:highlight w:val="yellow"/>
              </w:rPr>
              <w:t>is indicated</w:t>
            </w:r>
            <w:r>
              <w:rPr>
                <w:i/>
                <w:color w:val="000000"/>
                <w:highlight w:val="yellow"/>
              </w:rPr>
              <w:t>,</w:t>
            </w:r>
            <w:r>
              <w:rPr>
                <w:color w:val="000000"/>
                <w:highlight w:val="yellow"/>
              </w:rPr>
              <w:t xml:space="preserve"> the first TPMI is used to indicate the precoder to be applied over layers {0…v</w:t>
            </w:r>
            <w:r>
              <w:rPr>
                <w:color w:val="000000"/>
                <w:highlight w:val="yellow"/>
                <w:vertAlign w:val="subscript"/>
              </w:rPr>
              <w:t>1</w:t>
            </w:r>
            <w:r>
              <w:rPr>
                <w:color w:val="000000"/>
                <w:highlight w:val="yellow"/>
              </w:rPr>
              <w:t>-1}, where v</w:t>
            </w:r>
            <w:r>
              <w:rPr>
                <w:color w:val="000000"/>
                <w:highlight w:val="yellow"/>
                <w:vertAlign w:val="subscript"/>
              </w:rPr>
              <w:t>1</w:t>
            </w:r>
            <w:r>
              <w:rPr>
                <w:color w:val="000000"/>
                <w:highlight w:val="yellow"/>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w:t>
            </w:r>
            <w:r>
              <w:rPr>
                <w:color w:val="000000"/>
                <w:highlight w:val="yellow"/>
                <w:vertAlign w:val="subscript"/>
              </w:rPr>
              <w:t>1</w:t>
            </w:r>
            <w:r>
              <w:rPr>
                <w:color w:val="000000"/>
                <w:highlight w:val="yellow"/>
              </w:rPr>
              <w:t>-1} and the second TPMI is used to indicate the precoder to be applied over layers {v</w:t>
            </w:r>
            <w:r>
              <w:rPr>
                <w:color w:val="000000"/>
                <w:highlight w:val="yellow"/>
                <w:vertAlign w:val="subscript"/>
              </w:rPr>
              <w:t>1</w:t>
            </w:r>
            <w:r>
              <w:rPr>
                <w:color w:val="000000"/>
                <w:highlight w:val="yellow"/>
              </w:rPr>
              <w:t>…. v</w:t>
            </w:r>
            <w:r>
              <w:rPr>
                <w:color w:val="000000"/>
                <w:highlight w:val="yellow"/>
                <w:vertAlign w:val="subscript"/>
              </w:rPr>
              <w:t>2</w:t>
            </w:r>
            <w:r>
              <w:rPr>
                <w:color w:val="000000"/>
                <w:highlight w:val="yellow"/>
              </w:rPr>
              <w:t>+v</w:t>
            </w:r>
            <w:r>
              <w:rPr>
                <w:color w:val="000000"/>
                <w:highlight w:val="yellow"/>
                <w:vertAlign w:val="subscript"/>
              </w:rPr>
              <w:t>1</w:t>
            </w:r>
            <w:r>
              <w:rPr>
                <w:color w:val="000000"/>
                <w:highlight w:val="yellow"/>
              </w:rPr>
              <w:t>-1}, where v</w:t>
            </w:r>
            <w:r>
              <w:rPr>
                <w:color w:val="000000"/>
                <w:highlight w:val="yellow"/>
                <w:vertAlign w:val="subscript"/>
              </w:rPr>
              <w:t xml:space="preserve">2 </w:t>
            </w:r>
            <w:r>
              <w:rPr>
                <w:color w:val="000000"/>
                <w:highlight w:val="yellow"/>
              </w:rPr>
              <w:t>is the number of layers indicated by the second TPMI, that corresponds to the SRS resource selected by the corresponding SRI when multiple SRS resources are configured for the applicable SRS resource set or if single SRS resource is configured for the applicable SRS resource set the second TPMI is used to indicate precoder to be applied over layers {v</w:t>
            </w:r>
            <w:r>
              <w:rPr>
                <w:color w:val="000000"/>
                <w:highlight w:val="yellow"/>
                <w:vertAlign w:val="subscript"/>
              </w:rPr>
              <w:t>1</w:t>
            </w:r>
            <w:r>
              <w:rPr>
                <w:color w:val="000000"/>
                <w:highlight w:val="yellow"/>
              </w:rPr>
              <w:t>….v</w:t>
            </w:r>
            <w:r>
              <w:rPr>
                <w:color w:val="000000"/>
                <w:highlight w:val="yellow"/>
                <w:vertAlign w:val="subscript"/>
              </w:rPr>
              <w:t>2</w:t>
            </w:r>
            <w:r>
              <w:rPr>
                <w:color w:val="000000"/>
                <w:highlight w:val="yellow"/>
              </w:rPr>
              <w:t>+v</w:t>
            </w:r>
            <w:r>
              <w:rPr>
                <w:color w:val="000000"/>
                <w:highlight w:val="yellow"/>
                <w:vertAlign w:val="subscript"/>
              </w:rPr>
              <w:t>1</w:t>
            </w:r>
            <w:r>
              <w:rPr>
                <w:color w:val="000000"/>
                <w:highlight w:val="yellow"/>
              </w:rPr>
              <w:t>-1}, v</w:t>
            </w:r>
            <w:r>
              <w:rPr>
                <w:color w:val="000000"/>
                <w:highlight w:val="yellow"/>
                <w:vertAlign w:val="subscript"/>
              </w:rPr>
              <w:t>1</w:t>
            </w:r>
            <w:r>
              <w:rPr>
                <w:color w:val="000000"/>
                <w:highlight w:val="yellow"/>
              </w:rPr>
              <w:t xml:space="preserve"> ≤ </w:t>
            </w:r>
            <w:r>
              <w:rPr>
                <w:i/>
                <w:iCs/>
                <w:color w:val="FF0000"/>
                <w:highlight w:val="yellow"/>
              </w:rPr>
              <w:t>maxRankSdm</w:t>
            </w:r>
            <w:r>
              <w:rPr>
                <w:i/>
                <w:iCs/>
                <w:color w:val="000000"/>
                <w:highlight w:val="yellow"/>
              </w:rPr>
              <w:t xml:space="preserve"> </w:t>
            </w:r>
            <w:r>
              <w:rPr>
                <w:color w:val="000000"/>
                <w:highlight w:val="yellow"/>
              </w:rPr>
              <w:t>and</w:t>
            </w:r>
            <w:r>
              <w:rPr>
                <w:i/>
                <w:iCs/>
                <w:color w:val="000000"/>
                <w:highlight w:val="yellow"/>
              </w:rPr>
              <w:t xml:space="preserve"> </w:t>
            </w:r>
            <w:r>
              <w:rPr>
                <w:color w:val="000000"/>
                <w:highlight w:val="yellow"/>
              </w:rPr>
              <w:t>v</w:t>
            </w:r>
            <w:r>
              <w:rPr>
                <w:color w:val="000000"/>
                <w:highlight w:val="yellow"/>
                <w:vertAlign w:val="subscript"/>
              </w:rPr>
              <w:t>2</w:t>
            </w:r>
            <w:r>
              <w:rPr>
                <w:color w:val="000000"/>
                <w:highlight w:val="yellow"/>
              </w:rPr>
              <w:t xml:space="preserve"> ≤ </w:t>
            </w:r>
            <w:r>
              <w:rPr>
                <w:i/>
                <w:iCs/>
                <w:color w:val="FF0000"/>
                <w:highlight w:val="yellow"/>
              </w:rPr>
              <w:t xml:space="preserve">maxRankSdm </w:t>
            </w:r>
            <w:r>
              <w:rPr>
                <w:color w:val="FF0000"/>
                <w:highlight w:val="yellow"/>
              </w:rPr>
              <w:t>or</w:t>
            </w:r>
            <w:r>
              <w:rPr>
                <w:i/>
                <w:iCs/>
                <w:color w:val="FF0000"/>
                <w:highlight w:val="yellow"/>
              </w:rPr>
              <w:t xml:space="preserve"> maxRankSdmDCI-0-2</w:t>
            </w:r>
            <w:r>
              <w:rPr>
                <w:color w:val="FF0000"/>
                <w:highlight w:val="yellow"/>
              </w:rPr>
              <w:t xml:space="preserve"> is defining the maximum number of layers applied over the first and the second SRS resource sets, separately.</w:t>
            </w:r>
            <w:r>
              <w:rPr>
                <w:color w:val="000000"/>
                <w:highlight w:val="yellow"/>
              </w:rPr>
              <w:t>.</w:t>
            </w:r>
            <w:r>
              <w:rPr>
                <w:color w:val="000000"/>
              </w:rPr>
              <w:t xml:space="preserve"> </w:t>
            </w:r>
          </w:p>
          <w:p>
            <w:pPr>
              <w:spacing w:before="108" w:after="108"/>
              <w:ind w:left="567" w:hanging="283"/>
              <w:rPr>
                <w:color w:val="000000"/>
              </w:rPr>
            </w:pPr>
            <w:r>
              <w:t>-</w:t>
            </w:r>
            <w:r>
              <w:tab/>
            </w: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second SRI and second TPMI are reserved, the first TPMI is used to indicate the precoder to be applied over layers {0…v-1}, where v ≤ </w:t>
            </w:r>
            <w:r>
              <w:rPr>
                <w:i/>
                <w:iCs/>
                <w:color w:val="FF0000"/>
              </w:rPr>
              <w:t xml:space="preserve">maxRank, </w:t>
            </w:r>
            <w:r>
              <w:rPr>
                <w:color w:val="FF0000"/>
              </w:rPr>
              <w:t xml:space="preserve">where </w:t>
            </w:r>
            <w:r>
              <w:rPr>
                <w:i/>
                <w:iCs/>
                <w:color w:val="FF0000"/>
              </w:rPr>
              <w:t>maxRank</w:t>
            </w:r>
            <w:r>
              <w:rPr>
                <w:color w:val="FF0000"/>
              </w:rPr>
              <w:t xml:space="preserve"> is defining the maximum number of layers</w:t>
            </w:r>
            <w:r>
              <w:rPr>
                <w:color w:val="000000"/>
              </w:rPr>
              <w:t xml:space="preserve">. </w:t>
            </w:r>
          </w:p>
          <w:p>
            <w:pPr>
              <w:spacing w:before="108" w:after="108"/>
              <w:ind w:left="567" w:hanging="283"/>
              <w:rPr>
                <w:color w:val="000000"/>
              </w:rPr>
            </w:pPr>
            <w:r>
              <w:t>-</w:t>
            </w:r>
            <w:r>
              <w:tab/>
            </w:r>
            <w:r>
              <w:rPr>
                <w:color w:val="000000"/>
              </w:rPr>
              <w:t xml:space="preserve">For one or two TPMI(s), the transmission precoder is selected from the uplink codebook that has a number of antenna ports equal to the higher layer parameter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 </w:t>
            </w:r>
          </w:p>
          <w:p>
            <w:pPr>
              <w:spacing w:before="108" w:after="108"/>
              <w:ind w:left="567" w:hanging="283"/>
              <w:rPr>
                <w:color w:val="000000"/>
              </w:rPr>
            </w:pPr>
            <w:r>
              <w:t>-</w:t>
            </w:r>
            <w:r>
              <w:tab/>
            </w:r>
            <w:r>
              <w:rPr>
                <w:color w:val="000000"/>
              </w:rPr>
              <w:t xml:space="preserve">When two SRIs are indicated, the UE shall expect that the number of SRS antenna ports associated with two indicated SRIs would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p>
            <w:pPr>
              <w:spacing w:before="108" w:after="108"/>
              <w:jc w:val="center"/>
              <w:rPr>
                <w:color w:val="000000"/>
              </w:rPr>
            </w:pPr>
            <w:r>
              <w:rPr>
                <w:rFonts w:hint="eastAsia" w:eastAsia="宋体"/>
                <w:color w:val="FF0000"/>
              </w:rPr>
              <w:t>&lt;Unrelated parts are omitted&gt;</w:t>
            </w:r>
          </w:p>
        </w:tc>
      </w:tr>
    </w:tbl>
    <w:p>
      <w:pPr>
        <w:spacing w:before="288" w:beforeLines="80" w:after="108"/>
        <w:rPr>
          <w:rFonts w:eastAsia="宋体"/>
        </w:rPr>
      </w:pPr>
      <w:r>
        <w:rPr>
          <w:rFonts w:hint="eastAsia" w:eastAsia="宋体"/>
        </w:rPr>
        <w:t>To avoid any ambiguity, the mapping between PUSCH layers and PUSCH antenna ports of each precoder in case of single DCI based STxMP PUSCH in SDM scheme should be accurately captured in the specification.</w:t>
      </w:r>
    </w:p>
    <w:p>
      <w:pPr>
        <w:spacing w:before="108" w:after="108"/>
        <w:rPr>
          <w:rFonts w:eastAsia="宋体"/>
          <w:i/>
          <w:iCs/>
        </w:rPr>
      </w:pPr>
      <w:r>
        <w:rPr>
          <w:rFonts w:hint="eastAsia" w:eastAsia="宋体"/>
          <w:b/>
          <w:bCs/>
          <w:i/>
          <w:iCs/>
        </w:rPr>
        <w:t>Proposal 4:</w:t>
      </w:r>
      <w:r>
        <w:rPr>
          <w:rFonts w:hint="eastAsia" w:eastAsia="宋体"/>
          <w:i/>
          <w:iCs/>
        </w:rPr>
        <w:t xml:space="preserve"> For single DCI based STxMP PUSCH transmission in SDM scheme, specify that:</w:t>
      </w:r>
    </w:p>
    <w:p>
      <w:pPr>
        <w:numPr>
          <w:ilvl w:val="0"/>
          <w:numId w:val="11"/>
        </w:numPr>
        <w:spacing w:before="108" w:after="108"/>
        <w:rPr>
          <w:rFonts w:eastAsia="宋体"/>
        </w:rPr>
      </w:pPr>
      <w:r>
        <w:rPr>
          <w:rFonts w:hint="eastAsia" w:eastAsia="宋体"/>
          <w:i/>
          <w:iCs/>
        </w:rPr>
        <w:t>The first precoding matrix is to be applied over PUSCH layers {0, ..., v</w:t>
      </w:r>
      <w:r>
        <w:rPr>
          <w:rFonts w:hint="eastAsia" w:eastAsia="宋体"/>
          <w:i/>
          <w:iCs/>
          <w:vertAlign w:val="subscript"/>
        </w:rPr>
        <w:t>1</w:t>
      </w:r>
      <w:r>
        <w:rPr>
          <w:rFonts w:hint="eastAsia" w:eastAsia="宋体"/>
          <w:i/>
          <w:iCs/>
        </w:rPr>
        <w:t>-1} and PUSCH antenna ports {0000, ..., 0000+p</w:t>
      </w:r>
      <w:r>
        <w:rPr>
          <w:rFonts w:hint="eastAsia" w:eastAsia="宋体"/>
          <w:i/>
          <w:iCs/>
          <w:vertAlign w:val="subscript"/>
        </w:rPr>
        <w:t>1</w:t>
      </w:r>
      <w:r>
        <w:rPr>
          <w:rFonts w:hint="eastAsia" w:eastAsia="宋体"/>
          <w:i/>
          <w:iCs/>
        </w:rPr>
        <w:t>-1}, where v</w:t>
      </w:r>
      <w:r>
        <w:rPr>
          <w:rFonts w:hint="eastAsia" w:eastAsia="宋体"/>
          <w:i/>
          <w:iCs/>
          <w:vertAlign w:val="subscript"/>
        </w:rPr>
        <w:t>1</w:t>
      </w:r>
      <w:r>
        <w:rPr>
          <w:rFonts w:hint="eastAsia" w:eastAsia="宋体"/>
          <w:i/>
          <w:iCs/>
        </w:rPr>
        <w:t xml:space="preserve"> is the number of layers indicated by the first TPMI, p</w:t>
      </w:r>
      <w:r>
        <w:rPr>
          <w:rFonts w:hint="eastAsia" w:eastAsia="宋体"/>
          <w:i/>
          <w:iCs/>
          <w:vertAlign w:val="subscript"/>
        </w:rPr>
        <w:t>1</w:t>
      </w:r>
      <w:r>
        <w:rPr>
          <w:rFonts w:hint="eastAsia" w:eastAsia="宋体"/>
          <w:i/>
          <w:iCs/>
        </w:rPr>
        <w:t xml:space="preserve"> is the number of SRS ports indicated by the first SRI.</w:t>
      </w:r>
    </w:p>
    <w:p>
      <w:pPr>
        <w:numPr>
          <w:ilvl w:val="0"/>
          <w:numId w:val="11"/>
        </w:numPr>
        <w:spacing w:before="108" w:after="108"/>
        <w:rPr>
          <w:rFonts w:eastAsia="宋体"/>
        </w:rPr>
      </w:pPr>
      <w:r>
        <w:rPr>
          <w:rFonts w:hint="eastAsia" w:eastAsia="宋体"/>
          <w:i/>
          <w:iCs/>
        </w:rPr>
        <w:t>The second precoding matrix is to be applied over PUSCH layers {v</w:t>
      </w:r>
      <w:r>
        <w:rPr>
          <w:rFonts w:hint="eastAsia" w:eastAsia="宋体"/>
          <w:i/>
          <w:iCs/>
          <w:vertAlign w:val="subscript"/>
        </w:rPr>
        <w:t>1</w:t>
      </w:r>
      <w:r>
        <w:rPr>
          <w:rFonts w:hint="eastAsia" w:eastAsia="宋体"/>
          <w:i/>
          <w:iCs/>
        </w:rPr>
        <w:t>, ..., v</w:t>
      </w:r>
      <w:r>
        <w:rPr>
          <w:rFonts w:hint="eastAsia" w:eastAsia="宋体"/>
          <w:i/>
          <w:iCs/>
          <w:vertAlign w:val="subscript"/>
        </w:rPr>
        <w:t>1</w:t>
      </w:r>
      <w:r>
        <w:rPr>
          <w:rFonts w:hint="eastAsia" w:eastAsia="宋体"/>
          <w:i/>
          <w:iCs/>
        </w:rPr>
        <w:t>+v</w:t>
      </w:r>
      <w:r>
        <w:rPr>
          <w:rFonts w:hint="eastAsia" w:eastAsia="宋体"/>
          <w:i/>
          <w:iCs/>
          <w:vertAlign w:val="subscript"/>
        </w:rPr>
        <w:t>2</w:t>
      </w:r>
      <w:r>
        <w:rPr>
          <w:rFonts w:hint="eastAsia" w:eastAsia="宋体"/>
          <w:i/>
          <w:iCs/>
        </w:rPr>
        <w:t>-1} and PUSCH antenna ports {0000+p</w:t>
      </w:r>
      <w:r>
        <w:rPr>
          <w:rFonts w:hint="eastAsia" w:eastAsia="宋体"/>
          <w:i/>
          <w:iCs/>
          <w:vertAlign w:val="subscript"/>
        </w:rPr>
        <w:t>1</w:t>
      </w:r>
      <w:r>
        <w:rPr>
          <w:rFonts w:hint="eastAsia" w:eastAsia="宋体"/>
          <w:i/>
          <w:iCs/>
        </w:rPr>
        <w:t>, ..., 0000+p</w:t>
      </w:r>
      <w:r>
        <w:rPr>
          <w:rFonts w:hint="eastAsia" w:eastAsia="宋体"/>
          <w:i/>
          <w:iCs/>
          <w:vertAlign w:val="subscript"/>
        </w:rPr>
        <w:t>1</w:t>
      </w:r>
      <w:r>
        <w:rPr>
          <w:rFonts w:hint="eastAsia" w:eastAsia="宋体"/>
          <w:i/>
          <w:iCs/>
        </w:rPr>
        <w:t>+p</w:t>
      </w:r>
      <w:r>
        <w:rPr>
          <w:rFonts w:hint="eastAsia" w:eastAsia="宋体"/>
          <w:i/>
          <w:iCs/>
          <w:vertAlign w:val="subscript"/>
        </w:rPr>
        <w:t>2</w:t>
      </w:r>
      <w:r>
        <w:rPr>
          <w:rFonts w:hint="eastAsia" w:eastAsia="宋体"/>
          <w:i/>
          <w:iCs/>
        </w:rPr>
        <w:t>-1}, where v</w:t>
      </w:r>
      <w:r>
        <w:rPr>
          <w:rFonts w:hint="eastAsia" w:eastAsia="宋体"/>
          <w:i/>
          <w:iCs/>
          <w:vertAlign w:val="subscript"/>
        </w:rPr>
        <w:t>2</w:t>
      </w:r>
      <w:r>
        <w:rPr>
          <w:rFonts w:hint="eastAsia" w:eastAsia="宋体"/>
          <w:i/>
          <w:iCs/>
        </w:rPr>
        <w:t xml:space="preserve"> is the number of layers indicated by the second TPMI, p</w:t>
      </w:r>
      <w:r>
        <w:rPr>
          <w:rFonts w:hint="eastAsia" w:eastAsia="宋体"/>
          <w:i/>
          <w:iCs/>
          <w:vertAlign w:val="subscript"/>
        </w:rPr>
        <w:t>2</w:t>
      </w:r>
      <w:r>
        <w:rPr>
          <w:rFonts w:hint="eastAsia" w:eastAsia="宋体"/>
          <w:i/>
          <w:iCs/>
        </w:rPr>
        <w:t xml:space="preserve"> is the number of SRS ports indicated by the second SRI.</w:t>
      </w:r>
    </w:p>
    <w:p>
      <w:pPr>
        <w:pStyle w:val="3"/>
        <w:spacing w:before="360" w:beforeLines="100" w:after="180"/>
        <w:ind w:left="431" w:hanging="431"/>
        <w:rPr>
          <w:lang w:val="en-US"/>
        </w:rPr>
      </w:pPr>
      <w:r>
        <w:rPr>
          <w:rFonts w:hint="eastAsia"/>
          <w:lang w:val="en-US"/>
        </w:rPr>
        <w:t>SRS resource set indication field</w:t>
      </w:r>
    </w:p>
    <w:p>
      <w:pPr>
        <w:spacing w:before="108" w:after="108"/>
        <w:rPr>
          <w:rFonts w:eastAsia="宋体"/>
        </w:rPr>
      </w:pPr>
      <w:r>
        <w:rPr>
          <w:rFonts w:hint="eastAsia" w:eastAsia="宋体"/>
        </w:rPr>
        <w:t>Regarding the codepoints of SRS resource set indicator field for dynamic switching between STxMP/SFN and sTRP transmission, the followings were agreed in previous meetings [3][4].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b/>
                <w:bCs/>
                <w:szCs w:val="20"/>
                <w:u w:val="single"/>
              </w:rPr>
            </w:pPr>
            <w:r>
              <w:rPr>
                <w:b/>
                <w:bCs/>
                <w:szCs w:val="20"/>
                <w:u w:val="single"/>
                <w:lang w:val="en-CA"/>
              </w:rPr>
              <w:t>Agreement</w:t>
            </w:r>
            <w:r>
              <w:rPr>
                <w:rFonts w:hint="eastAsia"/>
                <w:b/>
                <w:bCs/>
                <w:szCs w:val="20"/>
              </w:rPr>
              <w:t xml:space="preserve"> </w:t>
            </w:r>
            <w:r>
              <w:rPr>
                <w:b/>
                <w:bCs/>
                <w:szCs w:val="20"/>
              </w:rPr>
              <w:t>(RAN1#112b-e)</w:t>
            </w:r>
          </w:p>
          <w:p>
            <w:pPr>
              <w:spacing w:before="108" w:after="108"/>
              <w:rPr>
                <w:szCs w:val="20"/>
                <w:lang w:val="en-CA"/>
              </w:rPr>
            </w:pPr>
            <w:r>
              <w:rPr>
                <w:szCs w:val="20"/>
                <w:lang w:val="en-CA"/>
              </w:rPr>
              <w:t>The codepoints of “SRS resource set indicator” in DCI for dynamic switching between STxMP SDM and sTRP transmission are interpreted and the SRI/TPMI fields are designed as follows:</w:t>
            </w:r>
          </w:p>
          <w:p>
            <w:pPr>
              <w:pStyle w:val="51"/>
              <w:numPr>
                <w:ilvl w:val="0"/>
                <w:numId w:val="15"/>
              </w:numPr>
              <w:spacing w:before="108" w:after="108"/>
              <w:ind w:leftChars="0"/>
              <w:rPr>
                <w:rFonts w:ascii="Times New Roman" w:hAnsi="Times New Roman"/>
                <w:szCs w:val="20"/>
                <w:lang w:val="en-CA"/>
              </w:rPr>
            </w:pPr>
            <w:r>
              <w:rPr>
                <w:rFonts w:ascii="Times New Roman" w:hAnsi="Times New Roman"/>
                <w:szCs w:val="20"/>
                <w:lang w:val="en-CA"/>
              </w:rPr>
              <w:t xml:space="preserve">The codepoints 00 and 01 indicate sTRP transmission. 00 </w:t>
            </w:r>
            <w:r>
              <w:rPr>
                <w:rFonts w:ascii="Times New Roman" w:hAnsi="Times New Roman"/>
                <w:szCs w:val="20"/>
              </w:rPr>
              <w:t>indicates</w:t>
            </w:r>
            <w:r>
              <w:rPr>
                <w:rFonts w:ascii="Times New Roman" w:hAnsi="Times New Roman"/>
                <w:szCs w:val="20"/>
                <w:lang w:val="en-CA"/>
              </w:rPr>
              <w:t xml:space="preserve"> the first SRS resource set and 01 indicates the second SRS resource set. For SRI/TPMI field design, down-select one from the following Alts:</w:t>
            </w:r>
          </w:p>
          <w:p>
            <w:pPr>
              <w:pStyle w:val="51"/>
              <w:numPr>
                <w:ilvl w:val="1"/>
                <w:numId w:val="15"/>
              </w:numPr>
              <w:spacing w:before="108" w:after="108"/>
              <w:ind w:leftChars="0"/>
              <w:rPr>
                <w:rFonts w:ascii="Times New Roman" w:hAnsi="Times New Roman"/>
                <w:szCs w:val="20"/>
                <w:lang w:val="en-CA"/>
              </w:rPr>
            </w:pPr>
            <w:r>
              <w:rPr>
                <w:rFonts w:ascii="Times New Roman" w:hAnsi="Times New Roman"/>
                <w:szCs w:val="20"/>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pPr>
              <w:pStyle w:val="51"/>
              <w:numPr>
                <w:ilvl w:val="1"/>
                <w:numId w:val="15"/>
              </w:numPr>
              <w:spacing w:before="108" w:after="108"/>
              <w:ind w:leftChars="0"/>
              <w:rPr>
                <w:rFonts w:ascii="Times New Roman" w:hAnsi="Times New Roman"/>
                <w:szCs w:val="20"/>
              </w:rPr>
            </w:pPr>
            <w:r>
              <w:rPr>
                <w:rFonts w:ascii="Times New Roman" w:hAnsi="Times New Roman"/>
                <w:szCs w:val="20"/>
                <w:lang w:val="en-CA"/>
              </w:rPr>
              <w:t xml:space="preserve">Alt2: </w:t>
            </w:r>
            <w:r>
              <w:rPr>
                <w:rFonts w:ascii="Times New Roman" w:hAnsi="Times New Roman"/>
                <w:szCs w:val="20"/>
              </w:rPr>
              <w:t xml:space="preserve">the DCI has only one SRI field and one TPMI field. The SRI and TPMI field are associated with the first SRS resource set if codepoint=00 or the second SRS resource set if codepoint = 01. </w:t>
            </w:r>
          </w:p>
          <w:p>
            <w:pPr>
              <w:pStyle w:val="51"/>
              <w:numPr>
                <w:ilvl w:val="1"/>
                <w:numId w:val="15"/>
              </w:numPr>
              <w:spacing w:before="108" w:after="108"/>
              <w:ind w:leftChars="0"/>
              <w:rPr>
                <w:rFonts w:ascii="Times New Roman" w:hAnsi="Times New Roman"/>
                <w:szCs w:val="20"/>
              </w:rPr>
            </w:pPr>
            <w:r>
              <w:rPr>
                <w:rFonts w:ascii="Times New Roman" w:hAnsi="Times New Roman"/>
                <w:szCs w:val="20"/>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pPr>
              <w:pStyle w:val="51"/>
              <w:numPr>
                <w:ilvl w:val="2"/>
                <w:numId w:val="15"/>
              </w:numPr>
              <w:spacing w:before="108" w:after="108"/>
              <w:ind w:leftChars="0"/>
              <w:rPr>
                <w:rFonts w:ascii="Times New Roman" w:hAnsi="Times New Roman"/>
                <w:szCs w:val="20"/>
              </w:rPr>
            </w:pPr>
            <w:r>
              <w:rPr>
                <w:rFonts w:ascii="Times New Roman" w:hAnsi="Times New Roman"/>
                <w:szCs w:val="20"/>
              </w:rPr>
              <w:t>FFS: If the concatenated bits are not sufficient, additional bits are appended to concatenated bits in order to support this feature</w:t>
            </w:r>
          </w:p>
          <w:p>
            <w:pPr>
              <w:pStyle w:val="51"/>
              <w:numPr>
                <w:ilvl w:val="1"/>
                <w:numId w:val="15"/>
              </w:numPr>
              <w:spacing w:before="108" w:after="108"/>
              <w:ind w:leftChars="0"/>
              <w:rPr>
                <w:rFonts w:ascii="Times New Roman" w:hAnsi="Times New Roman"/>
                <w:szCs w:val="20"/>
              </w:rPr>
            </w:pPr>
            <w:r>
              <w:rPr>
                <w:rFonts w:ascii="Times New Roman" w:hAnsi="Times New Roman"/>
                <w:szCs w:val="20"/>
              </w:rPr>
              <w:t>Alt4: the DCI has two SRI fields and two TPMI fields.</w:t>
            </w:r>
          </w:p>
          <w:p>
            <w:pPr>
              <w:pStyle w:val="51"/>
              <w:numPr>
                <w:ilvl w:val="2"/>
                <w:numId w:val="15"/>
              </w:numPr>
              <w:spacing w:before="108" w:after="108"/>
              <w:ind w:leftChars="0"/>
              <w:rPr>
                <w:rFonts w:ascii="Times New Roman" w:hAnsi="Times New Roman"/>
                <w:szCs w:val="20"/>
              </w:rPr>
            </w:pPr>
            <w:r>
              <w:rPr>
                <w:rFonts w:ascii="Times New Roman" w:hAnsi="Times New Roman"/>
                <w:szCs w:val="20"/>
              </w:rPr>
              <w:t xml:space="preserve">When the codepoint is 00, the first SRI field and first TPMI field are associated with the first SRS resource set. The second SRI field and second TPMI field are reserved. </w:t>
            </w:r>
          </w:p>
          <w:p>
            <w:pPr>
              <w:pStyle w:val="51"/>
              <w:numPr>
                <w:ilvl w:val="2"/>
                <w:numId w:val="15"/>
              </w:numPr>
              <w:spacing w:before="108" w:after="108"/>
              <w:ind w:leftChars="0"/>
              <w:rPr>
                <w:rFonts w:ascii="Times New Roman" w:hAnsi="Times New Roman"/>
                <w:szCs w:val="20"/>
              </w:rPr>
            </w:pPr>
            <w:r>
              <w:rPr>
                <w:rFonts w:ascii="Times New Roman" w:hAnsi="Times New Roman"/>
                <w:szCs w:val="20"/>
              </w:rPr>
              <w:t>When the codepoint is 01, the second SRI field and second TPMI field are associated with the second SRS resource set. The first SRI field and first TPMI field are reserved.</w:t>
            </w:r>
          </w:p>
          <w:p>
            <w:pPr>
              <w:pStyle w:val="51"/>
              <w:numPr>
                <w:ilvl w:val="0"/>
                <w:numId w:val="15"/>
              </w:numPr>
              <w:spacing w:before="108" w:after="108"/>
              <w:ind w:leftChars="0"/>
              <w:rPr>
                <w:rFonts w:ascii="Times New Roman" w:hAnsi="Times New Roman"/>
                <w:szCs w:val="20"/>
                <w:lang w:val="en-CA"/>
              </w:rPr>
            </w:pPr>
            <w:r>
              <w:rPr>
                <w:rFonts w:ascii="Times New Roman" w:hAnsi="Times New Roman"/>
                <w:szCs w:val="20"/>
                <w:lang w:val="en-CA"/>
              </w:rPr>
              <w:t>The codepoints 10 indicate SDM transmission with the first and second SRS resource set.</w:t>
            </w:r>
          </w:p>
          <w:p>
            <w:pPr>
              <w:pStyle w:val="51"/>
              <w:numPr>
                <w:ilvl w:val="1"/>
                <w:numId w:val="15"/>
              </w:numPr>
              <w:spacing w:before="108" w:after="108"/>
              <w:ind w:leftChars="0"/>
              <w:rPr>
                <w:rFonts w:ascii="Times New Roman" w:hAnsi="Times New Roman"/>
                <w:szCs w:val="20"/>
                <w:lang w:val="en-CA"/>
              </w:rPr>
            </w:pPr>
            <w:r>
              <w:rPr>
                <w:rFonts w:ascii="Times New Roman" w:hAnsi="Times New Roman"/>
                <w:szCs w:val="20"/>
                <w:lang w:val="en-CA"/>
              </w:rPr>
              <w:t>The first SRI field and first TPMI field are associated with the first SRS resource set and they indicate the precoder(s)/rank/SRI for the first SRS resource set.</w:t>
            </w:r>
          </w:p>
          <w:p>
            <w:pPr>
              <w:pStyle w:val="51"/>
              <w:numPr>
                <w:ilvl w:val="1"/>
                <w:numId w:val="15"/>
              </w:numPr>
              <w:spacing w:before="108" w:after="108"/>
              <w:ind w:leftChars="0"/>
              <w:rPr>
                <w:rFonts w:ascii="Times New Roman" w:hAnsi="Times New Roman"/>
                <w:szCs w:val="20"/>
                <w:lang w:val="en-CA"/>
              </w:rPr>
            </w:pPr>
            <w:r>
              <w:rPr>
                <w:rFonts w:ascii="Times New Roman" w:hAnsi="Times New Roman"/>
                <w:szCs w:val="20"/>
                <w:lang w:val="en-CA"/>
              </w:rPr>
              <w:t>The second SRI field and second TPMI field are associated with the first SRS resource set and they indicate the precoder(s)/rank/SRI for the second SRS resource set.</w:t>
            </w:r>
          </w:p>
          <w:p>
            <w:pPr>
              <w:pStyle w:val="51"/>
              <w:numPr>
                <w:ilvl w:val="0"/>
                <w:numId w:val="15"/>
              </w:numPr>
              <w:spacing w:before="108" w:after="108"/>
              <w:ind w:leftChars="0"/>
              <w:rPr>
                <w:rFonts w:ascii="Times New Roman" w:hAnsi="Times New Roman"/>
                <w:szCs w:val="20"/>
                <w:lang w:val="en-CA"/>
              </w:rPr>
            </w:pPr>
            <w:r>
              <w:rPr>
                <w:rFonts w:ascii="Times New Roman" w:hAnsi="Times New Roman"/>
                <w:szCs w:val="20"/>
                <w:lang w:val="en-CA"/>
              </w:rPr>
              <w:t>FFS: The codepoint 11 is reserved.</w:t>
            </w:r>
          </w:p>
          <w:p>
            <w:pPr>
              <w:pStyle w:val="51"/>
              <w:spacing w:before="108" w:after="108"/>
              <w:ind w:left="0" w:leftChars="0"/>
              <w:rPr>
                <w:rFonts w:ascii="Times New Roman" w:hAnsi="Times New Roman"/>
                <w:szCs w:val="20"/>
              </w:rPr>
            </w:pPr>
          </w:p>
          <w:p>
            <w:pPr>
              <w:spacing w:before="108" w:after="108"/>
              <w:rPr>
                <w:b/>
                <w:bCs/>
                <w:szCs w:val="20"/>
                <w:u w:val="single"/>
              </w:rPr>
            </w:pPr>
            <w:r>
              <w:rPr>
                <w:b/>
                <w:bCs/>
                <w:szCs w:val="20"/>
                <w:u w:val="single"/>
                <w:lang w:val="en-CA"/>
              </w:rPr>
              <w:t>Agreement</w:t>
            </w:r>
            <w:r>
              <w:rPr>
                <w:b/>
                <w:bCs/>
                <w:szCs w:val="20"/>
              </w:rPr>
              <w:t xml:space="preserve"> (RAN1#112b-e)</w:t>
            </w:r>
          </w:p>
          <w:p>
            <w:pPr>
              <w:spacing w:before="108" w:after="108"/>
              <w:rPr>
                <w:szCs w:val="20"/>
              </w:rPr>
            </w:pPr>
            <w:r>
              <w:rPr>
                <w:szCs w:val="20"/>
                <w:lang w:val="en-CA"/>
              </w:rPr>
              <w:t>The codepoints of “SRS resource set indicator” in DCI for dynamic switching between STxMP SFN and sTRP transmission are interpreted and the design of SRI/TPMI fields are as follows:</w:t>
            </w:r>
          </w:p>
          <w:p>
            <w:pPr>
              <w:numPr>
                <w:ilvl w:val="0"/>
                <w:numId w:val="16"/>
              </w:numPr>
              <w:spacing w:before="108" w:after="108"/>
              <w:rPr>
                <w:szCs w:val="20"/>
              </w:rPr>
            </w:pPr>
            <w:r>
              <w:rPr>
                <w:szCs w:val="20"/>
                <w:lang w:val="en-CA"/>
              </w:rPr>
              <w:t>The codepoints 00 and 01 indicate sTRP transmission. 00 </w:t>
            </w:r>
            <w:r>
              <w:rPr>
                <w:szCs w:val="20"/>
              </w:rPr>
              <w:t>indicates</w:t>
            </w:r>
            <w:r>
              <w:rPr>
                <w:szCs w:val="20"/>
                <w:lang w:val="en-CA"/>
              </w:rPr>
              <w:t xml:space="preserve"> the first SRS resource set and 01 indicates the second SRS resource set. </w:t>
            </w:r>
          </w:p>
          <w:p>
            <w:pPr>
              <w:numPr>
                <w:ilvl w:val="1"/>
                <w:numId w:val="16"/>
              </w:numPr>
              <w:spacing w:before="108" w:after="108"/>
              <w:rPr>
                <w:szCs w:val="20"/>
              </w:rPr>
            </w:pPr>
            <w:r>
              <w:rPr>
                <w:szCs w:val="20"/>
                <w:lang w:val="en-CA"/>
              </w:rPr>
              <w:t>For the design of SRI/TPMI fields, re-use the design that is decided for dynamic switching between STxMP SDM and sTRP transmission.</w:t>
            </w:r>
          </w:p>
          <w:p>
            <w:pPr>
              <w:numPr>
                <w:ilvl w:val="0"/>
                <w:numId w:val="16"/>
              </w:numPr>
              <w:spacing w:before="108" w:after="108"/>
              <w:rPr>
                <w:szCs w:val="20"/>
              </w:rPr>
            </w:pPr>
            <w:r>
              <w:rPr>
                <w:szCs w:val="20"/>
                <w:lang w:val="en-CA"/>
              </w:rPr>
              <w:t xml:space="preserve">The codepoint 10 indicates STxMP SFN transmission with the first and second SRS resource set. </w:t>
            </w:r>
          </w:p>
          <w:p>
            <w:pPr>
              <w:numPr>
                <w:ilvl w:val="1"/>
                <w:numId w:val="16"/>
              </w:numPr>
              <w:spacing w:before="108" w:after="108"/>
              <w:rPr>
                <w:szCs w:val="20"/>
              </w:rPr>
            </w:pPr>
            <w:r>
              <w:rPr>
                <w:szCs w:val="20"/>
                <w:lang w:val="en-CA"/>
              </w:rPr>
              <w:t>The first SRI field and first TPMI field are associated with the first SRS resource set and they indicate the precoder(s)/rank/SRI for the first SRS resource set.</w:t>
            </w:r>
          </w:p>
          <w:p>
            <w:pPr>
              <w:numPr>
                <w:ilvl w:val="1"/>
                <w:numId w:val="16"/>
              </w:numPr>
              <w:spacing w:before="108" w:after="108"/>
              <w:rPr>
                <w:szCs w:val="20"/>
              </w:rPr>
            </w:pPr>
            <w:r>
              <w:rPr>
                <w:szCs w:val="20"/>
                <w:lang w:val="en-CA"/>
              </w:rPr>
              <w:t>The second SRI field and second TPMI field are associated with the second SRS resource set and they indicate the precoder(s)/SRI for the second SRS resource set (the rank is indicated by the first SRI field for NCB or the first TPMI field for CB)</w:t>
            </w:r>
          </w:p>
          <w:p>
            <w:pPr>
              <w:numPr>
                <w:ilvl w:val="0"/>
                <w:numId w:val="16"/>
              </w:numPr>
              <w:spacing w:before="108" w:after="108"/>
              <w:rPr>
                <w:szCs w:val="20"/>
              </w:rPr>
            </w:pPr>
            <w:r>
              <w:rPr>
                <w:szCs w:val="20"/>
                <w:lang w:val="en-CA"/>
              </w:rPr>
              <w:t>FFS: The codepoint 11 is reserved.</w:t>
            </w:r>
          </w:p>
          <w:p>
            <w:pPr>
              <w:pStyle w:val="51"/>
              <w:spacing w:before="108" w:after="108"/>
              <w:ind w:left="0" w:leftChars="0"/>
              <w:rPr>
                <w:rFonts w:ascii="Times New Roman" w:hAnsi="Times New Roman"/>
                <w:szCs w:val="20"/>
                <w:lang w:val="en-US"/>
              </w:rPr>
            </w:pPr>
          </w:p>
          <w:p>
            <w:pPr>
              <w:spacing w:before="108" w:after="108"/>
              <w:rPr>
                <w:b/>
                <w:bCs/>
                <w:szCs w:val="20"/>
                <w:u w:val="single"/>
                <w:lang w:val="en-CA"/>
              </w:rPr>
            </w:pPr>
            <w:r>
              <w:rPr>
                <w:b/>
                <w:bCs/>
                <w:szCs w:val="20"/>
                <w:u w:val="single"/>
                <w:lang w:val="en-CA"/>
              </w:rPr>
              <w:t>Agreement</w:t>
            </w:r>
            <w:r>
              <w:rPr>
                <w:b/>
                <w:bCs/>
                <w:szCs w:val="20"/>
              </w:rPr>
              <w:t xml:space="preserve"> (RAN1#113)</w:t>
            </w:r>
          </w:p>
          <w:p>
            <w:pPr>
              <w:spacing w:before="108" w:after="108"/>
              <w:rPr>
                <w:szCs w:val="20"/>
                <w:lang w:val="en-CA"/>
              </w:rPr>
            </w:pPr>
            <w:r>
              <w:rPr>
                <w:szCs w:val="20"/>
                <w:lang w:val="en-CA"/>
              </w:rPr>
              <w:t>For the codepoints 00 and 01 of “SRS resource set indicator” in DCI for dynamic switching between STxMP SDM and sTRP transmission, support Alt1:</w:t>
            </w:r>
          </w:p>
          <w:p>
            <w:pPr>
              <w:pStyle w:val="51"/>
              <w:numPr>
                <w:ilvl w:val="0"/>
                <w:numId w:val="15"/>
              </w:numPr>
              <w:spacing w:before="108" w:after="108"/>
              <w:ind w:leftChars="0"/>
              <w:rPr>
                <w:rFonts w:ascii="Times New Roman" w:hAnsi="Times New Roman"/>
                <w:szCs w:val="20"/>
                <w:lang w:val="en-CA"/>
              </w:rPr>
            </w:pPr>
            <w:r>
              <w:rPr>
                <w:rFonts w:ascii="Times New Roman" w:hAnsi="Times New Roman"/>
                <w:szCs w:val="20"/>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pPr>
              <w:pStyle w:val="51"/>
              <w:numPr>
                <w:ilvl w:val="0"/>
                <w:numId w:val="15"/>
              </w:numPr>
              <w:spacing w:before="108" w:after="108"/>
              <w:ind w:leftChars="0"/>
              <w:rPr>
                <w:rFonts w:ascii="Times New Roman" w:hAnsi="Times New Roman"/>
                <w:szCs w:val="20"/>
                <w:lang w:val="en-US"/>
              </w:rPr>
            </w:pPr>
            <w:r>
              <w:rPr>
                <w:rFonts w:ascii="Times New Roman" w:hAnsi="Times New Roman"/>
                <w:szCs w:val="20"/>
              </w:rPr>
              <w:t>This design is also applied to the codepoints 00 and 01 of “SRS resource set indicator” in DCI for dynamic switching between STxMP SFN and sTRP transmission.</w:t>
            </w:r>
          </w:p>
        </w:tc>
      </w:tr>
    </w:tbl>
    <w:p>
      <w:pPr>
        <w:spacing w:before="108" w:after="108"/>
        <w:rPr>
          <w:rFonts w:eastAsia="宋体"/>
        </w:rPr>
      </w:pPr>
      <w:r>
        <w:rPr>
          <w:rFonts w:hint="eastAsia" w:eastAsia="宋体"/>
        </w:rPr>
        <w:t xml:space="preserve">Given that there </w:t>
      </w:r>
      <w:r>
        <w:rPr>
          <w:rFonts w:eastAsia="宋体"/>
        </w:rPr>
        <w:t>is a total of</w:t>
      </w:r>
      <w:r>
        <w:rPr>
          <w:rFonts w:hint="eastAsia" w:eastAsia="宋体"/>
        </w:rPr>
        <w:t xml:space="preserve"> three modes </w:t>
      </w:r>
      <w:r>
        <w:rPr>
          <w:rFonts w:eastAsia="宋体"/>
        </w:rPr>
        <w:t xml:space="preserve">which </w:t>
      </w:r>
      <w:r>
        <w:rPr>
          <w:rFonts w:hint="eastAsia" w:eastAsia="宋体"/>
        </w:rPr>
        <w:t xml:space="preserve">need to be </w:t>
      </w:r>
      <w:r>
        <w:rPr>
          <w:rFonts w:eastAsia="宋体"/>
        </w:rPr>
        <w:t xml:space="preserve">differentiated </w:t>
      </w:r>
      <w:r>
        <w:rPr>
          <w:rFonts w:hint="eastAsia" w:eastAsia="宋体"/>
        </w:rPr>
        <w:t xml:space="preserve">(i.e., STRP mode with the first SRS resource set, STRP mode with the second SRS resource set, MTRP/STxMP mode with the first and second SRS resource sets), it is natural to reserve the codepoint </w:t>
      </w:r>
      <w:r>
        <w:rPr>
          <w:rFonts w:eastAsia="宋体"/>
        </w:rPr>
        <w:t>“</w:t>
      </w:r>
      <w:r>
        <w:rPr>
          <w:rFonts w:hint="eastAsia" w:eastAsia="宋体"/>
        </w:rPr>
        <w:t>11</w:t>
      </w:r>
      <w:r>
        <w:rPr>
          <w:rFonts w:eastAsia="宋体"/>
        </w:rPr>
        <w:t>”</w:t>
      </w:r>
      <w:r>
        <w:rPr>
          <w:rFonts w:hint="eastAsia" w:eastAsia="宋体"/>
        </w:rPr>
        <w:t xml:space="preserve"> of SRS resource set indicator field. Regrading the intention that information other than dynamic switching can be conveyed by this codepoint, it should be avoided due to joint interpretation of one DCI field will at least negatively impact the forward compatible of field extension.</w:t>
      </w:r>
    </w:p>
    <w:p>
      <w:pPr>
        <w:spacing w:before="108" w:after="108"/>
        <w:rPr>
          <w:rFonts w:eastAsia="宋体"/>
          <w:i/>
          <w:iCs/>
        </w:rPr>
      </w:pPr>
      <w:r>
        <w:rPr>
          <w:rFonts w:hint="eastAsia" w:eastAsia="宋体"/>
          <w:b/>
          <w:bCs/>
          <w:i/>
          <w:iCs/>
        </w:rPr>
        <w:t>Proposal 5:</w:t>
      </w:r>
      <w:r>
        <w:rPr>
          <w:rFonts w:hint="eastAsia" w:eastAsia="宋体"/>
          <w:i/>
          <w:iCs/>
        </w:rPr>
        <w:t xml:space="preserve"> </w:t>
      </w:r>
      <w:r>
        <w:rPr>
          <w:i/>
          <w:iCs/>
          <w:szCs w:val="20"/>
          <w:lang w:val="en-CA"/>
        </w:rPr>
        <w:t>For SRS resource set indicator</w:t>
      </w:r>
      <w:r>
        <w:rPr>
          <w:rFonts w:hint="eastAsia"/>
          <w:i/>
          <w:iCs/>
          <w:szCs w:val="20"/>
        </w:rPr>
        <w:t xml:space="preserve"> field</w:t>
      </w:r>
      <w:r>
        <w:rPr>
          <w:i/>
          <w:iCs/>
          <w:szCs w:val="20"/>
          <w:lang w:val="en-CA"/>
        </w:rPr>
        <w:t xml:space="preserve"> in DCI for dynamic switching between STxMP SDM</w:t>
      </w:r>
      <w:r>
        <w:rPr>
          <w:rFonts w:hint="eastAsia"/>
          <w:i/>
          <w:iCs/>
          <w:szCs w:val="20"/>
        </w:rPr>
        <w:t>/SFN</w:t>
      </w:r>
      <w:r>
        <w:rPr>
          <w:i/>
          <w:iCs/>
          <w:szCs w:val="20"/>
          <w:lang w:val="en-CA"/>
        </w:rPr>
        <w:t xml:space="preserve"> and sTRP transmission, </w:t>
      </w:r>
      <w:r>
        <w:rPr>
          <w:rFonts w:hint="eastAsia"/>
          <w:i/>
          <w:iCs/>
          <w:szCs w:val="20"/>
        </w:rPr>
        <w:t xml:space="preserve">the codepoint </w:t>
      </w:r>
      <w:r>
        <w:rPr>
          <w:i/>
          <w:iCs/>
          <w:szCs w:val="20"/>
        </w:rPr>
        <w:t>“</w:t>
      </w:r>
      <w:r>
        <w:rPr>
          <w:rFonts w:hint="eastAsia"/>
          <w:i/>
          <w:iCs/>
          <w:szCs w:val="20"/>
        </w:rPr>
        <w:t>11</w:t>
      </w:r>
      <w:r>
        <w:rPr>
          <w:i/>
          <w:iCs/>
          <w:szCs w:val="20"/>
        </w:rPr>
        <w:t>”</w:t>
      </w:r>
      <w:r>
        <w:rPr>
          <w:rFonts w:hint="eastAsia"/>
          <w:i/>
          <w:iCs/>
          <w:szCs w:val="20"/>
        </w:rPr>
        <w:t xml:space="preserve"> should be reserved.</w:t>
      </w:r>
    </w:p>
    <w:p>
      <w:pPr>
        <w:pStyle w:val="3"/>
        <w:spacing w:before="360" w:beforeLines="100" w:after="180"/>
        <w:ind w:left="431" w:hanging="431"/>
        <w:rPr>
          <w:lang w:val="en-US"/>
        </w:rPr>
      </w:pPr>
      <w:r>
        <w:rPr>
          <w:rFonts w:hint="eastAsia"/>
          <w:lang w:val="en-US"/>
        </w:rPr>
        <w:t>DMRS sequence initialization</w:t>
      </w:r>
    </w:p>
    <w:p>
      <w:pPr>
        <w:spacing w:before="108" w:after="108"/>
      </w:pPr>
      <w:r>
        <w:rPr>
          <w:rFonts w:hint="eastAsia"/>
        </w:rPr>
        <w:t xml:space="preserve">In Rel-15/16, DMRS initialization ID (which denoted as </w:t>
      </w:r>
      <w:r>
        <w:rPr>
          <w:rFonts w:hint="eastAsia"/>
          <w:i/>
          <w:iCs/>
        </w:rPr>
        <w:t>n</w:t>
      </w:r>
      <w:r>
        <w:rPr>
          <w:rFonts w:hint="eastAsia"/>
          <w:vertAlign w:val="subscript"/>
        </w:rPr>
        <w:t>SCID</w:t>
      </w:r>
      <w:r>
        <w:rPr>
          <w:rFonts w:hint="eastAsia"/>
        </w:rPr>
        <w:t>) is used to guarantee the resulting DMRS generated from pseudo-random sequence to be orthogonal</w:t>
      </w:r>
      <w:r>
        <w:rPr>
          <w:rFonts w:hint="eastAsia" w:eastAsia="宋体"/>
        </w:rPr>
        <w:t xml:space="preserve"> within a CDM group</w:t>
      </w:r>
      <w:r>
        <w:rPr>
          <w:rFonts w:hint="eastAsia"/>
        </w:rPr>
        <w:t>, which is similar to the virtual cell ID in LTE. If the underlying pseudo-random sequence would differ between different co-scheduled UEs, the resulting DMRSs would not be orthogonal.</w:t>
      </w:r>
    </w:p>
    <w:p>
      <w:pPr>
        <w:spacing w:before="108" w:after="108"/>
        <w:rPr>
          <w:rFonts w:eastAsia="宋体"/>
        </w:rPr>
      </w:pPr>
      <w:r>
        <w:rPr>
          <w:rFonts w:hint="eastAsia" w:eastAsia="宋体"/>
        </w:rPr>
        <w:t xml:space="preserve">With respect to PUSCH DMRS, it can be noted that </w:t>
      </w:r>
      <w:r>
        <w:rPr>
          <w:i/>
          <w:iCs/>
        </w:rPr>
        <w:t>DMRS-UplinkConfig</w:t>
      </w:r>
      <w:r>
        <w:rPr>
          <w:rFonts w:hint="eastAsia" w:eastAsia="宋体"/>
        </w:rPr>
        <w:t xml:space="preserve"> in </w:t>
      </w:r>
      <w:r>
        <w:rPr>
          <w:rFonts w:hint="eastAsia" w:eastAsia="宋体"/>
          <w:i/>
          <w:iCs/>
        </w:rPr>
        <w:t>PUSCH-config</w:t>
      </w:r>
      <w:r>
        <w:rPr>
          <w:rFonts w:hint="eastAsia" w:eastAsia="宋体"/>
        </w:rPr>
        <w:t xml:space="preserve"> is applicable to a particular BWP for all PUSCHs within a serving cell, in which </w:t>
      </w:r>
      <w:r>
        <w:rPr>
          <w:rFonts w:hint="eastAsia"/>
        </w:rPr>
        <w:t>DMRS initialization ID</w:t>
      </w:r>
      <w:r>
        <w:rPr>
          <w:rFonts w:hint="eastAsia" w:eastAsia="宋体"/>
        </w:rPr>
        <w:t xml:space="preserve"> is shared among two TRPs. For MDCI based STxMP PUSCH+PUSCH, it is possible that PUSCH transmissions toward to different TRPs are indicated with the same DMRS ports by two independent DCIs because of the unawareness of MDCI MTRP operation with non-ideal backhaul assumption. Subsequently, the performance of PUSCH DMRS demodulation of the target TRP will be degraded by the interference from PUSCH DMRS with same sequence of the other TRP.</w:t>
      </w:r>
    </w:p>
    <w:p>
      <w:pPr>
        <w:spacing w:before="108" w:after="108"/>
        <w:rPr>
          <w:rFonts w:eastAsia="宋体"/>
        </w:rPr>
      </w:pPr>
      <w:r>
        <w:rPr>
          <w:rFonts w:hint="eastAsia" w:eastAsia="宋体"/>
        </w:rPr>
        <w:t xml:space="preserve">To address this issue, one simple and straightforward way is to specify that the </w:t>
      </w:r>
      <w:r>
        <w:rPr>
          <w:rFonts w:hint="eastAsia"/>
        </w:rPr>
        <w:t>initialization ID</w:t>
      </w:r>
      <w:r>
        <w:rPr>
          <w:rFonts w:hint="eastAsia" w:eastAsia="宋体"/>
        </w:rPr>
        <w:t xml:space="preserve"> of PUSCH DMRS is mandatory to be different among two TRPs. Given that it was agreed to use two SRS resource sets associated with coresetPoolIndex value 0 and 1 respectively for DG PUSCH + DG PUSCH, CG PUSCH + DG PUSCH and CG PUSCH + CG PUSCH, it can be DMRS initialization ID of PUSCH associated with different values of coresetPoolIndex should be different. For example, DMRS initialization ID of PUSCH associated with coresetPoolIndex value 0 is set to 0 and DMRS initialization ID of PUSCH associated with coresetPoolIndex value 1 is set to 1, or vice versa.</w:t>
      </w:r>
    </w:p>
    <w:p>
      <w:pPr>
        <w:spacing w:before="108" w:after="108"/>
        <w:rPr>
          <w:rFonts w:eastAsia="宋体"/>
          <w:i/>
          <w:iCs/>
        </w:rPr>
      </w:pPr>
      <w:r>
        <w:rPr>
          <w:rFonts w:hint="eastAsia"/>
          <w:b/>
          <w:bCs/>
          <w:i/>
          <w:iCs/>
        </w:rPr>
        <w:t xml:space="preserve">Proposal </w:t>
      </w:r>
      <w:r>
        <w:rPr>
          <w:rFonts w:hint="eastAsia" w:eastAsia="宋体"/>
          <w:b/>
          <w:bCs/>
          <w:i/>
          <w:iCs/>
        </w:rPr>
        <w:t>6</w:t>
      </w:r>
      <w:r>
        <w:rPr>
          <w:rFonts w:hint="eastAsia"/>
          <w:b/>
          <w:bCs/>
          <w:i/>
          <w:iCs/>
        </w:rPr>
        <w:t xml:space="preserve">: </w:t>
      </w:r>
      <w:r>
        <w:rPr>
          <w:rStyle w:val="30"/>
          <w:rFonts w:hint="eastAsia" w:eastAsia="宋体" w:cs="Times"/>
          <w:b w:val="0"/>
          <w:i/>
          <w:iCs/>
          <w:szCs w:val="20"/>
        </w:rPr>
        <w:t xml:space="preserve">For MDCI based STxMP PUSCH+PUSCH, support that </w:t>
      </w:r>
      <w:r>
        <w:rPr>
          <w:rFonts w:hint="eastAsia" w:eastAsia="宋体"/>
          <w:i/>
          <w:iCs/>
        </w:rPr>
        <w:t>DMRS initialization ID of PUSCH associated with different values of coresetPoolIndex should be different.</w:t>
      </w:r>
    </w:p>
    <w:p>
      <w:pPr>
        <w:pStyle w:val="2"/>
        <w:keepNext/>
        <w:tabs>
          <w:tab w:val="left" w:pos="3686"/>
          <w:tab w:val="left" w:pos="4536"/>
        </w:tabs>
        <w:spacing w:before="360" w:beforeLines="100" w:after="180" w:line="240" w:lineRule="auto"/>
        <w:textAlignment w:val="baseline"/>
        <w:rPr>
          <w:lang w:val="en-US"/>
        </w:rPr>
      </w:pPr>
      <w:r>
        <w:rPr>
          <w:lang w:val="en-US"/>
        </w:rPr>
        <w:t>STxMP PU</w:t>
      </w:r>
      <w:r>
        <w:rPr>
          <w:rFonts w:hint="eastAsia"/>
          <w:lang w:val="en-US"/>
        </w:rPr>
        <w:t>C</w:t>
      </w:r>
      <w:r>
        <w:rPr>
          <w:lang w:val="en-US"/>
        </w:rPr>
        <w:t>CH</w:t>
      </w:r>
      <w:r>
        <w:rPr>
          <w:rFonts w:hint="eastAsia"/>
          <w:lang w:val="en-US"/>
        </w:rPr>
        <w:t xml:space="preserve"> transmission</w:t>
      </w:r>
    </w:p>
    <w:p>
      <w:pPr>
        <w:pStyle w:val="3"/>
        <w:spacing w:before="180" w:after="180"/>
        <w:rPr>
          <w:lang w:val="en-US"/>
        </w:rPr>
      </w:pPr>
      <w:r>
        <w:rPr>
          <w:rFonts w:hint="eastAsia"/>
          <w:lang w:val="en-US"/>
        </w:rPr>
        <w:t>Configuration of STxMP PUCCH transmission in SFN scheme</w:t>
      </w:r>
    </w:p>
    <w:p>
      <w:pPr>
        <w:spacing w:before="108" w:after="108"/>
        <w:rPr>
          <w:rFonts w:eastAsia="宋体"/>
        </w:rPr>
      </w:pPr>
      <w:r>
        <w:rPr>
          <w:rFonts w:hint="eastAsia" w:eastAsia="宋体"/>
        </w:rPr>
        <w:t>Note that the PUCCH resource can be activated with two TCI states in both Rel-18 STxMP SFN scheme and Rel-17 MTRP TDM repetition scheme, the method for distinguishing these two schemes is further needed for PUCCH transmission. Upon the discussion in previous meetings, two options can be reached as follows:</w:t>
      </w:r>
    </w:p>
    <w:p>
      <w:pPr>
        <w:numPr>
          <w:ilvl w:val="0"/>
          <w:numId w:val="17"/>
        </w:numPr>
        <w:spacing w:before="108" w:after="108"/>
        <w:rPr>
          <w:rFonts w:eastAsia="宋体"/>
          <w:b/>
          <w:bCs/>
        </w:rPr>
      </w:pPr>
      <w:r>
        <w:rPr>
          <w:rFonts w:hint="eastAsia" w:eastAsia="宋体"/>
        </w:rPr>
        <w:t xml:space="preserve">Option 1: </w:t>
      </w:r>
      <w:r>
        <w:t>Introduce an RRC parameter per PUCCH resource</w:t>
      </w:r>
      <w:r>
        <w:rPr>
          <w:rFonts w:hint="eastAsia" w:eastAsia="宋体"/>
        </w:rPr>
        <w:t xml:space="preserve"> </w:t>
      </w:r>
      <w:r>
        <w:t xml:space="preserve">to configure </w:t>
      </w:r>
      <w:r>
        <w:rPr>
          <w:rFonts w:hint="eastAsia" w:eastAsia="宋体"/>
        </w:rPr>
        <w:t>R</w:t>
      </w:r>
      <w:r>
        <w:t>el-18 STxMP SFN scheme</w:t>
      </w:r>
      <w:r>
        <w:rPr>
          <w:rFonts w:hint="eastAsia" w:eastAsia="宋体"/>
        </w:rPr>
        <w:t>.</w:t>
      </w:r>
    </w:p>
    <w:p>
      <w:pPr>
        <w:numPr>
          <w:ilvl w:val="0"/>
          <w:numId w:val="17"/>
        </w:numPr>
        <w:spacing w:before="108" w:after="108"/>
        <w:rPr>
          <w:rFonts w:eastAsia="宋体"/>
        </w:rPr>
      </w:pPr>
      <w:r>
        <w:rPr>
          <w:rFonts w:hint="eastAsia" w:eastAsia="宋体"/>
        </w:rPr>
        <w:t xml:space="preserve">Option 2: </w:t>
      </w:r>
      <w:r>
        <w:t xml:space="preserve">Introduce an RRC parameter </w:t>
      </w:r>
      <w:r>
        <w:rPr>
          <w:rFonts w:hint="eastAsia" w:eastAsia="宋体"/>
        </w:rPr>
        <w:t xml:space="preserve">in </w:t>
      </w:r>
      <w:r>
        <w:rPr>
          <w:rStyle w:val="30"/>
          <w:rFonts w:eastAsia="宋体" w:cs="Times"/>
          <w:b w:val="0"/>
          <w:bCs w:val="0"/>
          <w:szCs w:val="20"/>
        </w:rPr>
        <w:t>“</w:t>
      </w:r>
      <w:r>
        <w:rPr>
          <w:rStyle w:val="30"/>
          <w:rFonts w:hint="eastAsia" w:eastAsia="宋体" w:cs="Times"/>
          <w:b w:val="0"/>
          <w:bCs w:val="0"/>
          <w:i/>
          <w:iCs/>
          <w:szCs w:val="20"/>
        </w:rPr>
        <w:t>PUCCH-config</w:t>
      </w:r>
      <w:r>
        <w:rPr>
          <w:rStyle w:val="30"/>
          <w:rFonts w:eastAsia="宋体" w:cs="Times"/>
          <w:b w:val="0"/>
          <w:bCs w:val="0"/>
          <w:szCs w:val="20"/>
        </w:rPr>
        <w:t>”</w:t>
      </w:r>
      <w:r>
        <w:rPr>
          <w:rStyle w:val="30"/>
          <w:rFonts w:hint="eastAsia" w:eastAsia="宋体" w:cs="Times"/>
          <w:b w:val="0"/>
          <w:bCs w:val="0"/>
          <w:szCs w:val="20"/>
        </w:rPr>
        <w:t xml:space="preserve"> IE </w:t>
      </w:r>
      <w:r>
        <w:t xml:space="preserve">to </w:t>
      </w:r>
      <w:r>
        <w:rPr>
          <w:rFonts w:hint="eastAsia" w:eastAsia="宋体"/>
        </w:rPr>
        <w:t>enable R</w:t>
      </w:r>
      <w:r>
        <w:t>el-18 STxMP SFN scheme</w:t>
      </w:r>
      <w:r>
        <w:rPr>
          <w:rFonts w:hint="eastAsia" w:eastAsia="宋体"/>
        </w:rPr>
        <w:t>.</w:t>
      </w:r>
    </w:p>
    <w:p>
      <w:pPr>
        <w:spacing w:before="108" w:after="108"/>
        <w:rPr>
          <w:rFonts w:eastAsia="宋体"/>
        </w:rPr>
      </w:pPr>
      <w:r>
        <w:rPr>
          <w:rFonts w:hint="eastAsia" w:eastAsia="宋体"/>
        </w:rPr>
        <w:t>In principle, either option 1 or option 2 can be adopted to fulfill the above objective. However, it is worth taking the following two aspects into consideration for down-selection:</w:t>
      </w:r>
    </w:p>
    <w:p>
      <w:pPr>
        <w:numPr>
          <w:ilvl w:val="0"/>
          <w:numId w:val="17"/>
        </w:numPr>
        <w:spacing w:before="108" w:after="108"/>
        <w:rPr>
          <w:rFonts w:eastAsia="宋体"/>
          <w:b/>
          <w:bCs/>
        </w:rPr>
      </w:pPr>
      <w:r>
        <w:rPr>
          <w:rFonts w:hint="eastAsia" w:eastAsia="宋体"/>
          <w:b/>
          <w:bCs/>
        </w:rPr>
        <w:t>Aspect 1: Support of dynamic switching between STxMP SFN scheme and sTRP scheme.</w:t>
      </w:r>
    </w:p>
    <w:p>
      <w:pPr>
        <w:spacing w:before="108" w:after="108"/>
        <w:ind w:left="420"/>
        <w:rPr>
          <w:rFonts w:eastAsia="宋体"/>
        </w:rPr>
      </w:pPr>
      <w:r>
        <w:rPr>
          <w:rFonts w:hint="eastAsia" w:eastAsia="宋体"/>
        </w:rPr>
        <w:t xml:space="preserve">In Rel-17, dynamic switching between MTRP TDM scheme and sTRP scheme of PUCCH repetition is done by PUCCH Spatial Relation (in FR2) or PC set (in FR1) update MAC CE with the indication of PRI field in DCI. For example, PUCCH resource 1 is activated with one spatial relation or PC set by MAC CE for MTRP PUCCH repetition, PUCCH resource 2 is activated with two spatial relations or PC sets by MAC CE for STRP PUCCH repetition. Then, depends on the indication of PRI field in DCI between PUCCH resource 1 and PUCCH resource 2, dynamic switching between MTRP scheme and STRP scheme of PUCCH repetition is performed. This mechanism can be reused as much as possible to enable the fallback from Rel-18 STxMP SFN scheme to sTRP scheme. </w:t>
      </w:r>
    </w:p>
    <w:p>
      <w:pPr>
        <w:spacing w:before="108" w:after="108"/>
        <w:ind w:left="420"/>
        <w:rPr>
          <w:rFonts w:eastAsia="宋体"/>
        </w:rPr>
      </w:pPr>
      <w:r>
        <w:rPr>
          <w:rFonts w:hint="eastAsia" w:eastAsia="宋体"/>
        </w:rPr>
        <w:t>For option 1, it cannot guarantee the above mechanism any</w:t>
      </w:r>
      <w:r>
        <w:rPr>
          <w:rFonts w:eastAsia="宋体"/>
        </w:rPr>
        <w:t xml:space="preserve"> </w:t>
      </w:r>
      <w:r>
        <w:rPr>
          <w:rFonts w:hint="eastAsia" w:eastAsia="宋体"/>
        </w:rPr>
        <w:t xml:space="preserve">more due to </w:t>
      </w:r>
      <w:r>
        <w:rPr>
          <w:rFonts w:eastAsia="宋体"/>
        </w:rPr>
        <w:t xml:space="preserve">the fact that </w:t>
      </w:r>
      <w:r>
        <w:rPr>
          <w:rFonts w:hint="eastAsia" w:eastAsia="宋体"/>
        </w:rPr>
        <w:t xml:space="preserve">the </w:t>
      </w:r>
      <w:r>
        <w:t>PUCCH resource configure</w:t>
      </w:r>
      <w:r>
        <w:rPr>
          <w:rFonts w:hint="eastAsia" w:eastAsia="宋体"/>
        </w:rPr>
        <w:t>d</w:t>
      </w:r>
      <w:r>
        <w:t xml:space="preserve"> </w:t>
      </w:r>
      <w:r>
        <w:rPr>
          <w:rFonts w:hint="eastAsia" w:eastAsia="宋体"/>
        </w:rPr>
        <w:t>to R</w:t>
      </w:r>
      <w:r>
        <w:t>el-18 STxMP SFN scheme</w:t>
      </w:r>
      <w:r>
        <w:rPr>
          <w:rFonts w:hint="eastAsia" w:eastAsia="宋体"/>
        </w:rPr>
        <w:t xml:space="preserve"> cannot </w:t>
      </w:r>
      <w:r>
        <w:rPr>
          <w:rFonts w:eastAsia="宋体"/>
        </w:rPr>
        <w:t xml:space="preserve">be </w:t>
      </w:r>
      <w:r>
        <w:rPr>
          <w:rFonts w:hint="eastAsia" w:eastAsia="宋体"/>
        </w:rPr>
        <w:t>switch</w:t>
      </w:r>
      <w:r>
        <w:rPr>
          <w:rFonts w:eastAsia="宋体"/>
        </w:rPr>
        <w:t>ed</w:t>
      </w:r>
      <w:r>
        <w:rPr>
          <w:rFonts w:hint="eastAsia" w:eastAsia="宋体"/>
        </w:rPr>
        <w:t xml:space="preserve"> to sTRP scheme. By comparison, option 2 can completely inherit this mechanism without additional specification change</w:t>
      </w:r>
      <w:r>
        <w:rPr>
          <w:rFonts w:eastAsia="宋体"/>
        </w:rPr>
        <w:t>: for instance</w:t>
      </w:r>
      <w:r>
        <w:rPr>
          <w:rFonts w:hint="eastAsia" w:eastAsia="宋体"/>
        </w:rPr>
        <w:t xml:space="preserve"> either STxMP SFN scheme or sTRP scheme depends only on the number of TCI states of the PUCCH resource indicated by PRI.</w:t>
      </w:r>
    </w:p>
    <w:p>
      <w:pPr>
        <w:numPr>
          <w:ilvl w:val="0"/>
          <w:numId w:val="17"/>
        </w:numPr>
        <w:spacing w:before="108" w:after="108"/>
        <w:rPr>
          <w:rFonts w:eastAsia="宋体"/>
          <w:b/>
          <w:bCs/>
        </w:rPr>
      </w:pPr>
      <w:r>
        <w:rPr>
          <w:rFonts w:hint="eastAsia" w:eastAsia="宋体"/>
          <w:b/>
          <w:bCs/>
        </w:rPr>
        <w:t>Aspect 2: Utilization of PUCCH resources configured by RRC.</w:t>
      </w:r>
    </w:p>
    <w:p>
      <w:pPr>
        <w:spacing w:before="108" w:after="108"/>
        <w:ind w:left="420"/>
        <w:rPr>
          <w:rFonts w:eastAsia="宋体"/>
        </w:rPr>
      </w:pPr>
      <w:r>
        <w:rPr>
          <w:rFonts w:hint="eastAsia" w:eastAsia="宋体"/>
        </w:rPr>
        <w:t>Given that dynamic switching between STxMP SDM/SFN scheme and Rel-17 MTRP TDM scheme of PUSCH transmission is precluded in Rel-18, the necessity of dynamic switching between STxMP SFN scheme and Rel-17 MTRP TDM scheme of PUCCH transmission is agnostic. Consequently, it is sufficient to enable STxMP SFN PUCCH transmission in UE specific (presumably same as PUCCH-config specific in this case), rather than PUCCH resource specific.</w:t>
      </w:r>
    </w:p>
    <w:p>
      <w:pPr>
        <w:spacing w:before="108" w:after="108"/>
        <w:ind w:left="420"/>
        <w:rPr>
          <w:rFonts w:eastAsia="宋体"/>
        </w:rPr>
      </w:pPr>
      <w:r>
        <w:rPr>
          <w:rFonts w:hint="eastAsia" w:eastAsia="宋体"/>
        </w:rPr>
        <w:t>In this sense, option 1 will lead to the waste of RRC configured PUCCH resources due to it can be possible that not all of PUCCH resources are configured with STxMP SFN scheme. Option 2 can avoid this problem because whether STxMP SFN scheme is enabled to the PUCCH resource determined by the number of activated TCI states as the aforementioned explanation.</w:t>
      </w:r>
    </w:p>
    <w:p>
      <w:pPr>
        <w:spacing w:before="108" w:after="108"/>
        <w:rPr>
          <w:rFonts w:eastAsia="宋体"/>
        </w:rPr>
      </w:pPr>
      <w:r>
        <w:rPr>
          <w:rFonts w:hint="eastAsia" w:eastAsia="宋体"/>
        </w:rPr>
        <w:t>In the light of the above, option 2 that i</w:t>
      </w:r>
      <w:r>
        <w:t xml:space="preserve">ntroduce an RRC parameter </w:t>
      </w:r>
      <w:r>
        <w:rPr>
          <w:rFonts w:hint="eastAsia" w:eastAsia="宋体"/>
        </w:rPr>
        <w:t xml:space="preserve">in </w:t>
      </w:r>
      <w:r>
        <w:rPr>
          <w:rStyle w:val="30"/>
          <w:rFonts w:eastAsia="宋体" w:cs="Times"/>
          <w:b w:val="0"/>
          <w:bCs w:val="0"/>
          <w:szCs w:val="20"/>
        </w:rPr>
        <w:t>“</w:t>
      </w:r>
      <w:r>
        <w:rPr>
          <w:rStyle w:val="30"/>
          <w:rFonts w:hint="eastAsia" w:eastAsia="宋体" w:cs="Times"/>
          <w:b w:val="0"/>
          <w:bCs w:val="0"/>
          <w:i/>
          <w:iCs/>
          <w:szCs w:val="20"/>
        </w:rPr>
        <w:t>PUCCH-config</w:t>
      </w:r>
      <w:r>
        <w:rPr>
          <w:rStyle w:val="30"/>
          <w:rFonts w:eastAsia="宋体" w:cs="Times"/>
          <w:b w:val="0"/>
          <w:bCs w:val="0"/>
          <w:szCs w:val="20"/>
        </w:rPr>
        <w:t>”</w:t>
      </w:r>
      <w:r>
        <w:rPr>
          <w:rStyle w:val="30"/>
          <w:rFonts w:hint="eastAsia" w:eastAsia="宋体" w:cs="Times"/>
          <w:b w:val="0"/>
          <w:bCs w:val="0"/>
          <w:szCs w:val="20"/>
        </w:rPr>
        <w:t xml:space="preserve"> IE </w:t>
      </w:r>
      <w:r>
        <w:t xml:space="preserve">to </w:t>
      </w:r>
      <w:r>
        <w:rPr>
          <w:rFonts w:hint="eastAsia" w:eastAsia="宋体"/>
        </w:rPr>
        <w:t>enable R</w:t>
      </w:r>
      <w:r>
        <w:t>el-18 STxMP SFN scheme</w:t>
      </w:r>
      <w:r>
        <w:rPr>
          <w:rFonts w:hint="eastAsia" w:eastAsia="宋体"/>
        </w:rPr>
        <w:t xml:space="preserve"> should be adopted to distinguish Rel-18 STxMP SFN scheme and Rel-17 MTRP TDM repetition scheme for PUCCH transmission.</w:t>
      </w:r>
    </w:p>
    <w:p>
      <w:pPr>
        <w:spacing w:before="108" w:after="108"/>
        <w:rPr>
          <w:rFonts w:eastAsia="宋体"/>
          <w:i/>
          <w:iCs/>
        </w:rPr>
      </w:pPr>
      <w:r>
        <w:rPr>
          <w:rFonts w:hint="eastAsia"/>
          <w:b/>
          <w:bCs/>
          <w:i/>
          <w:iCs/>
        </w:rPr>
        <w:t xml:space="preserve">Proposal </w:t>
      </w:r>
      <w:r>
        <w:rPr>
          <w:rFonts w:hint="eastAsia" w:eastAsia="宋体"/>
          <w:b/>
          <w:bCs/>
          <w:i/>
          <w:iCs/>
        </w:rPr>
        <w:t>7</w:t>
      </w:r>
      <w:r>
        <w:rPr>
          <w:rFonts w:hint="eastAsia"/>
          <w:b/>
          <w:bCs/>
          <w:i/>
          <w:iCs/>
        </w:rPr>
        <w:t xml:space="preserve">: </w:t>
      </w:r>
      <w:r>
        <w:rPr>
          <w:rStyle w:val="30"/>
          <w:rFonts w:hint="eastAsia" w:eastAsia="宋体" w:cs="Times"/>
          <w:b w:val="0"/>
          <w:i/>
          <w:iCs/>
          <w:szCs w:val="20"/>
        </w:rPr>
        <w:t xml:space="preserve">Support to introduce an RRC parameter in </w:t>
      </w:r>
      <w:r>
        <w:rPr>
          <w:rStyle w:val="30"/>
          <w:rFonts w:eastAsia="宋体" w:cs="Times"/>
          <w:b w:val="0"/>
          <w:i/>
          <w:iCs/>
          <w:szCs w:val="20"/>
        </w:rPr>
        <w:t>“</w:t>
      </w:r>
      <w:r>
        <w:rPr>
          <w:rStyle w:val="30"/>
          <w:rFonts w:hint="eastAsia" w:eastAsia="宋体" w:cs="Times"/>
          <w:b w:val="0"/>
          <w:i/>
          <w:iCs/>
          <w:szCs w:val="20"/>
        </w:rPr>
        <w:t>PUCCH-config</w:t>
      </w:r>
      <w:r>
        <w:rPr>
          <w:rStyle w:val="30"/>
          <w:rFonts w:eastAsia="宋体" w:cs="Times"/>
          <w:b w:val="0"/>
          <w:i/>
          <w:iCs/>
          <w:szCs w:val="20"/>
        </w:rPr>
        <w:t>”</w:t>
      </w:r>
      <w:r>
        <w:rPr>
          <w:rStyle w:val="30"/>
          <w:rFonts w:hint="eastAsia" w:eastAsia="宋体" w:cs="Times"/>
          <w:b w:val="0"/>
          <w:i/>
          <w:iCs/>
          <w:szCs w:val="20"/>
        </w:rPr>
        <w:t xml:space="preserve"> IE to distinguish Rel-18 STxMP SFN scheme and Rel-17 TDM repetition scheme to PUCCH</w:t>
      </w:r>
      <w:r>
        <w:rPr>
          <w:rFonts w:hint="eastAsia" w:eastAsia="宋体"/>
          <w:i/>
          <w:iCs/>
        </w:rPr>
        <w:t>.</w:t>
      </w:r>
    </w:p>
    <w:p>
      <w:pPr>
        <w:numPr>
          <w:ilvl w:val="0"/>
          <w:numId w:val="11"/>
        </w:numPr>
        <w:spacing w:before="108" w:after="108"/>
        <w:rPr>
          <w:rFonts w:eastAsia="宋体"/>
          <w:i/>
          <w:iCs/>
        </w:rPr>
      </w:pPr>
      <w:r>
        <w:rPr>
          <w:rFonts w:hint="eastAsia" w:eastAsia="宋体"/>
          <w:i/>
          <w:iCs/>
        </w:rPr>
        <w:t>If a PUCCH resource is activated with two TCI states and the RRC parameter is enabled, Rel-18 STxMP SFN PUCCH scheme is performed.</w:t>
      </w:r>
    </w:p>
    <w:p>
      <w:pPr>
        <w:numPr>
          <w:ilvl w:val="0"/>
          <w:numId w:val="18"/>
        </w:numPr>
        <w:spacing w:before="108" w:after="108"/>
        <w:rPr>
          <w:rFonts w:eastAsia="宋体"/>
          <w:i/>
          <w:iCs/>
        </w:rPr>
      </w:pPr>
      <w:r>
        <w:rPr>
          <w:rFonts w:hint="eastAsia" w:eastAsia="宋体"/>
          <w:i/>
          <w:iCs/>
        </w:rPr>
        <w:t>When the PUCCH resource is transmitted with multiple repetitions, each repetition is transmitted in STxMP SFN manner.</w:t>
      </w:r>
    </w:p>
    <w:p>
      <w:pPr>
        <w:numPr>
          <w:ilvl w:val="0"/>
          <w:numId w:val="11"/>
        </w:numPr>
        <w:spacing w:before="108" w:after="108"/>
        <w:rPr>
          <w:rFonts w:eastAsia="宋体"/>
          <w:i/>
          <w:iCs/>
        </w:rPr>
      </w:pPr>
      <w:r>
        <w:rPr>
          <w:rFonts w:hint="eastAsia" w:eastAsia="宋体"/>
          <w:i/>
          <w:iCs/>
        </w:rPr>
        <w:t>If a PUCCH resource is activated with two TCI states and the RRC parameter is not enabled, Rel-17 TDM PUCCH scheme is performed.</w:t>
      </w:r>
    </w:p>
    <w:p>
      <w:pPr>
        <w:numPr>
          <w:ilvl w:val="0"/>
          <w:numId w:val="11"/>
        </w:numPr>
        <w:spacing w:before="108" w:after="108"/>
        <w:rPr>
          <w:rFonts w:eastAsia="宋体"/>
          <w:i/>
          <w:iCs/>
        </w:rPr>
      </w:pPr>
      <w:r>
        <w:rPr>
          <w:rFonts w:hint="eastAsia" w:eastAsia="宋体"/>
          <w:i/>
          <w:iCs/>
        </w:rPr>
        <w:t>If a PUCCH resource is activated with one TCI state, no matter the RRC parameter is enabled or not, Rel-15/16 STRP PDCCH scheme is performed.</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eastAsia="宋体"/>
          <w:szCs w:val="20"/>
        </w:rPr>
        <w:t>provide our views on simultaneous UL transmission across multi-panel to MTRP in Rel-18. We have the following observation and proposals:</w:t>
      </w:r>
    </w:p>
    <w:p>
      <w:pPr>
        <w:spacing w:before="108" w:after="108"/>
        <w:rPr>
          <w:rFonts w:hint="eastAsia" w:eastAsia="宋体"/>
          <w:i/>
          <w:iCs/>
        </w:rPr>
      </w:pPr>
      <w:r>
        <w:rPr>
          <w:rFonts w:hint="eastAsia" w:eastAsia="宋体"/>
          <w:b/>
          <w:bCs/>
          <w:i/>
          <w:iCs/>
        </w:rPr>
        <w:t xml:space="preserve">Observation 1: </w:t>
      </w:r>
      <w:r>
        <w:rPr>
          <w:rFonts w:hint="eastAsia" w:eastAsia="宋体"/>
          <w:i/>
          <w:iCs/>
        </w:rPr>
        <w:t xml:space="preserve">TRP/panel-specific DL CSI acquisition via SRS for STxMP UE in MTRP operation cannot be </w:t>
      </w:r>
      <w:r>
        <w:rPr>
          <w:rFonts w:eastAsia="宋体"/>
          <w:i/>
          <w:iCs/>
        </w:rPr>
        <w:t>supported</w:t>
      </w:r>
      <w:r>
        <w:rPr>
          <w:rFonts w:hint="eastAsia" w:eastAsia="宋体"/>
          <w:i/>
          <w:iCs/>
        </w:rPr>
        <w:t xml:space="preserve"> by the current specifications.</w:t>
      </w:r>
    </w:p>
    <w:p>
      <w:pPr>
        <w:spacing w:before="108" w:after="108"/>
        <w:rPr>
          <w:rFonts w:eastAsia="宋体"/>
          <w:i/>
          <w:iCs/>
        </w:rPr>
      </w:pPr>
      <w:r>
        <w:rPr>
          <w:rFonts w:hint="eastAsia" w:eastAsia="宋体"/>
          <w:b/>
          <w:bCs/>
          <w:i/>
          <w:iCs/>
        </w:rPr>
        <w:t xml:space="preserve">Proposal 1: </w:t>
      </w:r>
      <w:r>
        <w:rPr>
          <w:rFonts w:hint="eastAsia" w:eastAsia="宋体"/>
          <w:i/>
          <w:iCs/>
        </w:rPr>
        <w:t>If the UE is capable to support single DCI based STxMP PUSCH in SDM/SFN scheme,</w:t>
      </w:r>
    </w:p>
    <w:p>
      <w:pPr>
        <w:numPr>
          <w:ilvl w:val="0"/>
          <w:numId w:val="11"/>
        </w:numPr>
        <w:spacing w:before="108" w:after="108"/>
        <w:rPr>
          <w:rFonts w:eastAsia="宋体"/>
          <w:i/>
          <w:iCs/>
        </w:rPr>
      </w:pPr>
      <w:r>
        <w:rPr>
          <w:rFonts w:hint="eastAsia" w:eastAsia="宋体"/>
          <w:i/>
          <w:iCs/>
        </w:rPr>
        <w:t>For CB PUSCH, up to two SRS resources from different SRS resource sets can be simultaneously transmitted</w:t>
      </w:r>
      <w:r>
        <w:rPr>
          <w:rFonts w:eastAsia="宋体"/>
          <w:i/>
          <w:iCs/>
        </w:rPr>
        <w:t xml:space="preserve">, </w:t>
      </w:r>
      <w:r>
        <w:rPr>
          <w:rFonts w:hint="eastAsia" w:eastAsia="宋体"/>
          <w:i/>
          <w:iCs/>
        </w:rPr>
        <w:t>and up to one SRS resources can be transmitted from each of two SRS resource sets.</w:t>
      </w:r>
    </w:p>
    <w:p>
      <w:pPr>
        <w:numPr>
          <w:ilvl w:val="0"/>
          <w:numId w:val="11"/>
        </w:numPr>
        <w:spacing w:before="108" w:after="108"/>
        <w:rPr>
          <w:rFonts w:eastAsia="宋体"/>
          <w:i/>
          <w:iCs/>
        </w:rPr>
      </w:pPr>
      <w:r>
        <w:rPr>
          <w:rFonts w:hint="eastAsia" w:eastAsia="宋体"/>
          <w:i/>
          <w:iCs/>
        </w:rPr>
        <w:t>For NCB PUSCH, up to four SRS resources can be simultaneously transmitted from two SRS resource sets, and up to two SRS resources can be transmitted from each of two SRS resource sets.</w:t>
      </w:r>
    </w:p>
    <w:p>
      <w:pPr>
        <w:numPr>
          <w:ilvl w:val="0"/>
          <w:numId w:val="11"/>
        </w:numPr>
        <w:spacing w:before="108" w:after="108"/>
        <w:rPr>
          <w:rFonts w:eastAsia="宋体"/>
          <w:i/>
          <w:iCs/>
        </w:rPr>
      </w:pPr>
      <w:r>
        <w:rPr>
          <w:rFonts w:hint="eastAsia" w:eastAsia="宋体"/>
          <w:i/>
          <w:iCs/>
        </w:rPr>
        <w:t>Note: The above can be subject to UE capability.</w:t>
      </w:r>
    </w:p>
    <w:p>
      <w:pPr>
        <w:spacing w:before="108" w:after="108"/>
        <w:rPr>
          <w:rFonts w:eastAsia="宋体"/>
          <w:i/>
          <w:iCs/>
        </w:rPr>
      </w:pPr>
      <w:r>
        <w:rPr>
          <w:rFonts w:hint="eastAsia" w:eastAsia="宋体"/>
          <w:b/>
          <w:bCs/>
          <w:i/>
          <w:iCs/>
        </w:rPr>
        <w:t xml:space="preserve">Proposal 2: </w:t>
      </w:r>
      <w:r>
        <w:rPr>
          <w:rFonts w:hint="eastAsia" w:eastAsia="宋体"/>
          <w:i/>
          <w:iCs/>
        </w:rPr>
        <w:t>Study how to fulfill TRP/panel-specific DL CSI acquisition via SRS for STxMP UE in MTRP operation.</w:t>
      </w:r>
    </w:p>
    <w:p>
      <w:pPr>
        <w:spacing w:before="108" w:after="108"/>
        <w:rPr>
          <w:rFonts w:eastAsia="宋体"/>
          <w:i/>
          <w:iCs/>
        </w:rPr>
      </w:pPr>
      <w:r>
        <w:rPr>
          <w:rFonts w:hint="eastAsia" w:eastAsia="宋体"/>
          <w:b/>
          <w:bCs/>
          <w:i/>
          <w:iCs/>
        </w:rPr>
        <w:t xml:space="preserve">Proposal 3: </w:t>
      </w:r>
      <w:r>
        <w:rPr>
          <w:rFonts w:hint="eastAsia" w:eastAsia="宋体"/>
          <w:i/>
          <w:iCs/>
        </w:rPr>
        <w:t>To fulfill TRP/panel-specific DL CSI acquisition via SRS</w:t>
      </w:r>
      <w:r>
        <w:rPr>
          <w:rFonts w:hint="eastAsia" w:eastAsia="宋体"/>
          <w:i/>
          <w:iCs/>
          <w:lang w:val="en-US" w:eastAsia="zh-CN"/>
        </w:rPr>
        <w:t xml:space="preserve"> with xT=xR (i.e., x=1, 2 or 4) based antenna switching per panel</w:t>
      </w:r>
      <w:r>
        <w:rPr>
          <w:rFonts w:hint="eastAsia" w:eastAsia="宋体"/>
          <w:i/>
          <w:iCs/>
        </w:rPr>
        <w:t xml:space="preserve"> for STxMP UE in MTRP operation, support that two SRS resources </w:t>
      </w:r>
      <w:r>
        <w:rPr>
          <w:rFonts w:eastAsia="宋体"/>
          <w:i/>
          <w:iCs/>
        </w:rPr>
        <w:t xml:space="preserve">for </w:t>
      </w:r>
      <w:r>
        <w:rPr>
          <w:rFonts w:hint="eastAsia" w:eastAsia="宋体"/>
          <w:i/>
          <w:iCs/>
        </w:rPr>
        <w:t xml:space="preserve">antenna switching configured in </w:t>
      </w:r>
      <w:r>
        <w:rPr>
          <w:rFonts w:eastAsia="宋体"/>
          <w:i/>
          <w:iCs/>
        </w:rPr>
        <w:t>respective</w:t>
      </w:r>
      <w:r>
        <w:rPr>
          <w:rFonts w:hint="eastAsia" w:eastAsia="宋体"/>
          <w:i/>
          <w:iCs/>
        </w:rPr>
        <w:t xml:space="preserve"> SRS resource sets for DL CSI acquisition can be triggered in the same time.,</w:t>
      </w:r>
    </w:p>
    <w:p>
      <w:pPr>
        <w:numPr>
          <w:ilvl w:val="0"/>
          <w:numId w:val="11"/>
        </w:numPr>
        <w:spacing w:before="108" w:after="108"/>
        <w:rPr>
          <w:rFonts w:eastAsia="宋体"/>
          <w:i/>
          <w:iCs/>
        </w:rPr>
      </w:pPr>
      <w:r>
        <w:rPr>
          <w:rFonts w:eastAsia="宋体"/>
          <w:i/>
          <w:iCs/>
        </w:rPr>
        <w:t>Each SRS resource can be configured with independent spatial relation.</w:t>
      </w:r>
    </w:p>
    <w:p>
      <w:pPr>
        <w:numPr>
          <w:ilvl w:val="0"/>
          <w:numId w:val="11"/>
        </w:numPr>
        <w:spacing w:before="108" w:after="108"/>
        <w:rPr>
          <w:rFonts w:eastAsia="宋体"/>
          <w:i/>
          <w:iCs/>
        </w:rPr>
      </w:pPr>
      <w:r>
        <w:rPr>
          <w:rFonts w:eastAsia="宋体"/>
          <w:i/>
          <w:iCs/>
        </w:rPr>
        <w:t xml:space="preserve">Each </w:t>
      </w:r>
      <w:r>
        <w:rPr>
          <w:rFonts w:hint="eastAsia" w:eastAsia="宋体"/>
          <w:i/>
          <w:iCs/>
        </w:rPr>
        <w:t>S</w:t>
      </w:r>
      <w:r>
        <w:rPr>
          <w:rFonts w:eastAsia="宋体"/>
          <w:i/>
          <w:iCs/>
        </w:rPr>
        <w:t xml:space="preserve">RS resource can be configured with independent PC parameters, </w:t>
      </w:r>
      <w:r>
        <w:rPr>
          <w:rFonts w:hint="eastAsia" w:eastAsia="宋体"/>
          <w:i/>
          <w:iCs/>
        </w:rPr>
        <w:t>which including</w:t>
      </w:r>
      <w:r>
        <w:rPr>
          <w:rFonts w:eastAsia="宋体"/>
          <w:i/>
          <w:iCs/>
        </w:rPr>
        <w:t xml:space="preserve"> </w:t>
      </w:r>
      <w:r>
        <w:rPr>
          <w:rFonts w:eastAsia="Batang"/>
          <w:i/>
          <w:iCs/>
          <w:szCs w:val="28"/>
        </w:rPr>
        <w:t>alpha, p0, pathlossReferenceRS, and srs-PowerControlAdjustmentStates</w:t>
      </w:r>
      <w:r>
        <w:rPr>
          <w:rFonts w:eastAsia="宋体"/>
          <w:i/>
          <w:iCs/>
        </w:rPr>
        <w:t>.</w:t>
      </w:r>
    </w:p>
    <w:p>
      <w:pPr>
        <w:numPr>
          <w:ilvl w:val="0"/>
          <w:numId w:val="11"/>
        </w:numPr>
        <w:spacing w:before="108" w:after="108"/>
        <w:rPr>
          <w:rFonts w:eastAsia="宋体"/>
          <w:i/>
          <w:iCs/>
        </w:rPr>
      </w:pPr>
      <w:r>
        <w:rPr>
          <w:rFonts w:eastAsia="宋体"/>
          <w:i/>
          <w:iCs/>
        </w:rPr>
        <w:t>SRS ports of each SRS resource can be associated with different UE antenna ports.</w:t>
      </w:r>
    </w:p>
    <w:p>
      <w:pPr>
        <w:spacing w:before="108" w:after="108"/>
        <w:rPr>
          <w:rFonts w:eastAsia="宋体"/>
          <w:i/>
          <w:iCs/>
        </w:rPr>
      </w:pPr>
      <w:r>
        <w:rPr>
          <w:rFonts w:hint="eastAsia" w:eastAsia="宋体"/>
          <w:b/>
          <w:bCs/>
          <w:i/>
          <w:iCs/>
        </w:rPr>
        <w:t>Proposal 4:</w:t>
      </w:r>
      <w:r>
        <w:rPr>
          <w:rFonts w:hint="eastAsia" w:eastAsia="宋体"/>
          <w:i/>
          <w:iCs/>
        </w:rPr>
        <w:t xml:space="preserve"> For single DCI based STxMP PUSCH transmission in SDM scheme, specify that:</w:t>
      </w:r>
    </w:p>
    <w:p>
      <w:pPr>
        <w:numPr>
          <w:ilvl w:val="0"/>
          <w:numId w:val="11"/>
        </w:numPr>
        <w:spacing w:before="108" w:after="108"/>
        <w:rPr>
          <w:rFonts w:eastAsia="宋体"/>
        </w:rPr>
      </w:pPr>
      <w:r>
        <w:rPr>
          <w:rFonts w:hint="eastAsia" w:eastAsia="宋体"/>
          <w:i/>
          <w:iCs/>
        </w:rPr>
        <w:t>The first precoding matrix is to be applied over PUSCH layers {0, ..., v</w:t>
      </w:r>
      <w:r>
        <w:rPr>
          <w:rFonts w:hint="eastAsia" w:eastAsia="宋体"/>
          <w:i/>
          <w:iCs/>
          <w:vertAlign w:val="subscript"/>
        </w:rPr>
        <w:t>1</w:t>
      </w:r>
      <w:r>
        <w:rPr>
          <w:rFonts w:hint="eastAsia" w:eastAsia="宋体"/>
          <w:i/>
          <w:iCs/>
        </w:rPr>
        <w:t>-1} and PUSCH antenna ports {0000, ..., 0000+p</w:t>
      </w:r>
      <w:r>
        <w:rPr>
          <w:rFonts w:hint="eastAsia" w:eastAsia="宋体"/>
          <w:i/>
          <w:iCs/>
          <w:vertAlign w:val="subscript"/>
        </w:rPr>
        <w:t>1</w:t>
      </w:r>
      <w:r>
        <w:rPr>
          <w:rFonts w:hint="eastAsia" w:eastAsia="宋体"/>
          <w:i/>
          <w:iCs/>
        </w:rPr>
        <w:t>-1}, where v</w:t>
      </w:r>
      <w:r>
        <w:rPr>
          <w:rFonts w:hint="eastAsia" w:eastAsia="宋体"/>
          <w:i/>
          <w:iCs/>
          <w:vertAlign w:val="subscript"/>
        </w:rPr>
        <w:t>1</w:t>
      </w:r>
      <w:r>
        <w:rPr>
          <w:rFonts w:hint="eastAsia" w:eastAsia="宋体"/>
          <w:i/>
          <w:iCs/>
        </w:rPr>
        <w:t xml:space="preserve"> is the number of layers indicated by the first TPMI, p</w:t>
      </w:r>
      <w:r>
        <w:rPr>
          <w:rFonts w:hint="eastAsia" w:eastAsia="宋体"/>
          <w:i/>
          <w:iCs/>
          <w:vertAlign w:val="subscript"/>
        </w:rPr>
        <w:t>1</w:t>
      </w:r>
      <w:r>
        <w:rPr>
          <w:rFonts w:hint="eastAsia" w:eastAsia="宋体"/>
          <w:i/>
          <w:iCs/>
        </w:rPr>
        <w:t xml:space="preserve"> is the number of SRS ports indicated by the first SRI.</w:t>
      </w:r>
    </w:p>
    <w:p>
      <w:pPr>
        <w:numPr>
          <w:ilvl w:val="0"/>
          <w:numId w:val="11"/>
        </w:numPr>
        <w:spacing w:before="108" w:after="108"/>
        <w:rPr>
          <w:rFonts w:eastAsia="宋体"/>
        </w:rPr>
      </w:pPr>
      <w:r>
        <w:rPr>
          <w:rFonts w:hint="eastAsia" w:eastAsia="宋体"/>
          <w:i/>
          <w:iCs/>
        </w:rPr>
        <w:t>The second precoding matrix is to be applied over PUSCH layers {v</w:t>
      </w:r>
      <w:r>
        <w:rPr>
          <w:rFonts w:hint="eastAsia" w:eastAsia="宋体"/>
          <w:i/>
          <w:iCs/>
          <w:vertAlign w:val="subscript"/>
        </w:rPr>
        <w:t>1</w:t>
      </w:r>
      <w:r>
        <w:rPr>
          <w:rFonts w:hint="eastAsia" w:eastAsia="宋体"/>
          <w:i/>
          <w:iCs/>
        </w:rPr>
        <w:t>, ..., v</w:t>
      </w:r>
      <w:r>
        <w:rPr>
          <w:rFonts w:hint="eastAsia" w:eastAsia="宋体"/>
          <w:i/>
          <w:iCs/>
          <w:vertAlign w:val="subscript"/>
        </w:rPr>
        <w:t>1</w:t>
      </w:r>
      <w:r>
        <w:rPr>
          <w:rFonts w:hint="eastAsia" w:eastAsia="宋体"/>
          <w:i/>
          <w:iCs/>
        </w:rPr>
        <w:t>+v</w:t>
      </w:r>
      <w:r>
        <w:rPr>
          <w:rFonts w:hint="eastAsia" w:eastAsia="宋体"/>
          <w:i/>
          <w:iCs/>
          <w:vertAlign w:val="subscript"/>
        </w:rPr>
        <w:t>2</w:t>
      </w:r>
      <w:r>
        <w:rPr>
          <w:rFonts w:hint="eastAsia" w:eastAsia="宋体"/>
          <w:i/>
          <w:iCs/>
        </w:rPr>
        <w:t>-1} and PUSCH antenna ports {0000+p</w:t>
      </w:r>
      <w:r>
        <w:rPr>
          <w:rFonts w:hint="eastAsia" w:eastAsia="宋体"/>
          <w:i/>
          <w:iCs/>
          <w:vertAlign w:val="subscript"/>
        </w:rPr>
        <w:t>1</w:t>
      </w:r>
      <w:r>
        <w:rPr>
          <w:rFonts w:hint="eastAsia" w:eastAsia="宋体"/>
          <w:i/>
          <w:iCs/>
        </w:rPr>
        <w:t>, ..., 0000+p</w:t>
      </w:r>
      <w:r>
        <w:rPr>
          <w:rFonts w:hint="eastAsia" w:eastAsia="宋体"/>
          <w:i/>
          <w:iCs/>
          <w:vertAlign w:val="subscript"/>
        </w:rPr>
        <w:t>1</w:t>
      </w:r>
      <w:r>
        <w:rPr>
          <w:rFonts w:hint="eastAsia" w:eastAsia="宋体"/>
          <w:i/>
          <w:iCs/>
        </w:rPr>
        <w:t>+p</w:t>
      </w:r>
      <w:r>
        <w:rPr>
          <w:rFonts w:hint="eastAsia" w:eastAsia="宋体"/>
          <w:i/>
          <w:iCs/>
          <w:vertAlign w:val="subscript"/>
        </w:rPr>
        <w:t>2</w:t>
      </w:r>
      <w:r>
        <w:rPr>
          <w:rFonts w:hint="eastAsia" w:eastAsia="宋体"/>
          <w:i/>
          <w:iCs/>
        </w:rPr>
        <w:t>-1}, where v</w:t>
      </w:r>
      <w:r>
        <w:rPr>
          <w:rFonts w:hint="eastAsia" w:eastAsia="宋体"/>
          <w:i/>
          <w:iCs/>
          <w:vertAlign w:val="subscript"/>
        </w:rPr>
        <w:t>2</w:t>
      </w:r>
      <w:r>
        <w:rPr>
          <w:rFonts w:hint="eastAsia" w:eastAsia="宋体"/>
          <w:i/>
          <w:iCs/>
        </w:rPr>
        <w:t xml:space="preserve"> is the number of layers indicated by the second TPMI, p</w:t>
      </w:r>
      <w:r>
        <w:rPr>
          <w:rFonts w:hint="eastAsia" w:eastAsia="宋体"/>
          <w:i/>
          <w:iCs/>
          <w:vertAlign w:val="subscript"/>
        </w:rPr>
        <w:t>2</w:t>
      </w:r>
      <w:r>
        <w:rPr>
          <w:rFonts w:hint="eastAsia" w:eastAsia="宋体"/>
          <w:i/>
          <w:iCs/>
        </w:rPr>
        <w:t xml:space="preserve"> is the number of SRS ports indicated by the second SRI.</w:t>
      </w:r>
    </w:p>
    <w:p>
      <w:pPr>
        <w:spacing w:before="108" w:after="108"/>
        <w:rPr>
          <w:rFonts w:eastAsia="宋体"/>
          <w:i/>
          <w:iCs/>
        </w:rPr>
      </w:pPr>
      <w:r>
        <w:rPr>
          <w:rFonts w:hint="eastAsia" w:eastAsia="宋体"/>
          <w:b/>
          <w:bCs/>
          <w:i/>
          <w:iCs/>
        </w:rPr>
        <w:t>Proposal 5:</w:t>
      </w:r>
      <w:r>
        <w:rPr>
          <w:rFonts w:hint="eastAsia" w:eastAsia="宋体"/>
          <w:i/>
          <w:iCs/>
        </w:rPr>
        <w:t xml:space="preserve"> </w:t>
      </w:r>
      <w:r>
        <w:rPr>
          <w:i/>
          <w:iCs/>
          <w:szCs w:val="20"/>
          <w:lang w:val="en-CA"/>
        </w:rPr>
        <w:t>For SRS resource set indicator</w:t>
      </w:r>
      <w:r>
        <w:rPr>
          <w:rFonts w:hint="eastAsia"/>
          <w:i/>
          <w:iCs/>
          <w:szCs w:val="20"/>
        </w:rPr>
        <w:t xml:space="preserve"> field</w:t>
      </w:r>
      <w:r>
        <w:rPr>
          <w:i/>
          <w:iCs/>
          <w:szCs w:val="20"/>
          <w:lang w:val="en-CA"/>
        </w:rPr>
        <w:t xml:space="preserve"> in DCI for dynamic switching between STxMP SDM</w:t>
      </w:r>
      <w:r>
        <w:rPr>
          <w:rFonts w:hint="eastAsia"/>
          <w:i/>
          <w:iCs/>
          <w:szCs w:val="20"/>
        </w:rPr>
        <w:t>/SFN</w:t>
      </w:r>
      <w:r>
        <w:rPr>
          <w:i/>
          <w:iCs/>
          <w:szCs w:val="20"/>
          <w:lang w:val="en-CA"/>
        </w:rPr>
        <w:t xml:space="preserve"> and sTRP transmission, </w:t>
      </w:r>
      <w:r>
        <w:rPr>
          <w:rFonts w:hint="eastAsia"/>
          <w:i/>
          <w:iCs/>
          <w:szCs w:val="20"/>
        </w:rPr>
        <w:t xml:space="preserve">the codepoint </w:t>
      </w:r>
      <w:r>
        <w:rPr>
          <w:i/>
          <w:iCs/>
          <w:szCs w:val="20"/>
        </w:rPr>
        <w:t>“</w:t>
      </w:r>
      <w:r>
        <w:rPr>
          <w:rFonts w:hint="eastAsia"/>
          <w:i/>
          <w:iCs/>
          <w:szCs w:val="20"/>
        </w:rPr>
        <w:t>11</w:t>
      </w:r>
      <w:r>
        <w:rPr>
          <w:i/>
          <w:iCs/>
          <w:szCs w:val="20"/>
        </w:rPr>
        <w:t>”</w:t>
      </w:r>
      <w:r>
        <w:rPr>
          <w:rFonts w:hint="eastAsia"/>
          <w:i/>
          <w:iCs/>
          <w:szCs w:val="20"/>
        </w:rPr>
        <w:t xml:space="preserve"> should be reserved.</w:t>
      </w:r>
    </w:p>
    <w:p>
      <w:pPr>
        <w:spacing w:before="108" w:after="108"/>
        <w:rPr>
          <w:rFonts w:eastAsia="宋体"/>
          <w:i/>
          <w:iCs/>
        </w:rPr>
      </w:pPr>
      <w:r>
        <w:rPr>
          <w:rFonts w:hint="eastAsia"/>
          <w:b/>
          <w:bCs/>
          <w:i/>
          <w:iCs/>
        </w:rPr>
        <w:t xml:space="preserve">Proposal </w:t>
      </w:r>
      <w:r>
        <w:rPr>
          <w:rFonts w:hint="eastAsia" w:eastAsia="宋体"/>
          <w:b/>
          <w:bCs/>
          <w:i/>
          <w:iCs/>
        </w:rPr>
        <w:t>6</w:t>
      </w:r>
      <w:r>
        <w:rPr>
          <w:rFonts w:hint="eastAsia"/>
          <w:b/>
          <w:bCs/>
          <w:i/>
          <w:iCs/>
        </w:rPr>
        <w:t xml:space="preserve">: </w:t>
      </w:r>
      <w:r>
        <w:rPr>
          <w:rStyle w:val="30"/>
          <w:rFonts w:hint="eastAsia" w:eastAsia="宋体" w:cs="Times"/>
          <w:b w:val="0"/>
          <w:i/>
          <w:iCs/>
          <w:szCs w:val="20"/>
        </w:rPr>
        <w:t xml:space="preserve">For MDCI based STxMP PUSCH+PUSCH, support that </w:t>
      </w:r>
      <w:r>
        <w:rPr>
          <w:rFonts w:hint="eastAsia" w:eastAsia="宋体"/>
          <w:i/>
          <w:iCs/>
        </w:rPr>
        <w:t>DMRS initialization ID of PUSCH associated with different values of coresetPoolIndex should be different.</w:t>
      </w:r>
    </w:p>
    <w:p>
      <w:pPr>
        <w:spacing w:before="108" w:after="108"/>
        <w:rPr>
          <w:rFonts w:eastAsia="宋体"/>
          <w:i/>
          <w:iCs/>
        </w:rPr>
      </w:pPr>
      <w:r>
        <w:rPr>
          <w:rFonts w:hint="eastAsia"/>
          <w:b/>
          <w:bCs/>
          <w:i/>
          <w:iCs/>
        </w:rPr>
        <w:t xml:space="preserve">Proposal </w:t>
      </w:r>
      <w:r>
        <w:rPr>
          <w:rFonts w:hint="eastAsia" w:eastAsia="宋体"/>
          <w:b/>
          <w:bCs/>
          <w:i/>
          <w:iCs/>
        </w:rPr>
        <w:t>7</w:t>
      </w:r>
      <w:r>
        <w:rPr>
          <w:rFonts w:hint="eastAsia"/>
          <w:b/>
          <w:bCs/>
          <w:i/>
          <w:iCs/>
        </w:rPr>
        <w:t xml:space="preserve">: </w:t>
      </w:r>
      <w:r>
        <w:rPr>
          <w:rStyle w:val="30"/>
          <w:rFonts w:hint="eastAsia" w:eastAsia="宋体" w:cs="Times"/>
          <w:b w:val="0"/>
          <w:i/>
          <w:iCs/>
          <w:szCs w:val="20"/>
        </w:rPr>
        <w:t xml:space="preserve">Support to introduce an RRC parameter in </w:t>
      </w:r>
      <w:r>
        <w:rPr>
          <w:rStyle w:val="30"/>
          <w:rFonts w:eastAsia="宋体" w:cs="Times"/>
          <w:b w:val="0"/>
          <w:i/>
          <w:iCs/>
          <w:szCs w:val="20"/>
        </w:rPr>
        <w:t>“</w:t>
      </w:r>
      <w:r>
        <w:rPr>
          <w:rStyle w:val="30"/>
          <w:rFonts w:hint="eastAsia" w:eastAsia="宋体" w:cs="Times"/>
          <w:b w:val="0"/>
          <w:i/>
          <w:iCs/>
          <w:szCs w:val="20"/>
        </w:rPr>
        <w:t>PUCCH-config</w:t>
      </w:r>
      <w:r>
        <w:rPr>
          <w:rStyle w:val="30"/>
          <w:rFonts w:eastAsia="宋体" w:cs="Times"/>
          <w:b w:val="0"/>
          <w:i/>
          <w:iCs/>
          <w:szCs w:val="20"/>
        </w:rPr>
        <w:t>”</w:t>
      </w:r>
      <w:r>
        <w:rPr>
          <w:rStyle w:val="30"/>
          <w:rFonts w:hint="eastAsia" w:eastAsia="宋体" w:cs="Times"/>
          <w:b w:val="0"/>
          <w:i/>
          <w:iCs/>
          <w:szCs w:val="20"/>
        </w:rPr>
        <w:t xml:space="preserve"> IE to distinguish Rel-18 STxMP SFN scheme and Rel-17 TDM repetition scheme to PUCCH</w:t>
      </w:r>
      <w:r>
        <w:rPr>
          <w:rFonts w:hint="eastAsia" w:eastAsia="宋体"/>
          <w:i/>
          <w:iCs/>
        </w:rPr>
        <w:t>.</w:t>
      </w:r>
    </w:p>
    <w:p>
      <w:pPr>
        <w:numPr>
          <w:ilvl w:val="0"/>
          <w:numId w:val="11"/>
        </w:numPr>
        <w:spacing w:before="108" w:after="108"/>
        <w:rPr>
          <w:rFonts w:eastAsia="宋体"/>
          <w:i/>
          <w:iCs/>
        </w:rPr>
      </w:pPr>
      <w:r>
        <w:rPr>
          <w:rFonts w:hint="eastAsia" w:eastAsia="宋体"/>
          <w:i/>
          <w:iCs/>
        </w:rPr>
        <w:t>If a PUCCH resource is activated with two TCI states and the RRC parameter is enabled, Rel-18 STxMP SFN PUCCH scheme is performed.</w:t>
      </w:r>
    </w:p>
    <w:p>
      <w:pPr>
        <w:numPr>
          <w:ilvl w:val="0"/>
          <w:numId w:val="18"/>
        </w:numPr>
        <w:spacing w:before="108" w:after="108"/>
        <w:rPr>
          <w:rFonts w:eastAsia="宋体"/>
          <w:i/>
          <w:iCs/>
        </w:rPr>
      </w:pPr>
      <w:r>
        <w:rPr>
          <w:rFonts w:hint="eastAsia" w:eastAsia="宋体"/>
          <w:i/>
          <w:iCs/>
        </w:rPr>
        <w:t>When the PUCCH resource is transmitted with multiple repetitions, each repetition is transmitted in STxMP SFN manner.</w:t>
      </w:r>
    </w:p>
    <w:p>
      <w:pPr>
        <w:numPr>
          <w:ilvl w:val="0"/>
          <w:numId w:val="11"/>
        </w:numPr>
        <w:spacing w:before="108" w:after="108"/>
        <w:rPr>
          <w:rFonts w:eastAsia="宋体"/>
          <w:i/>
          <w:iCs/>
        </w:rPr>
      </w:pPr>
      <w:r>
        <w:rPr>
          <w:rFonts w:hint="eastAsia" w:eastAsia="宋体"/>
          <w:i/>
          <w:iCs/>
        </w:rPr>
        <w:t>If a PUCCH resource is activated with two TCI states and the RRC parameter is not enabled, Rel-17 TDM PUCCH scheme is performed.</w:t>
      </w:r>
    </w:p>
    <w:p>
      <w:pPr>
        <w:numPr>
          <w:ilvl w:val="0"/>
          <w:numId w:val="11"/>
        </w:numPr>
        <w:spacing w:before="108" w:after="108"/>
        <w:rPr>
          <w:rFonts w:eastAsia="宋体"/>
          <w:i/>
          <w:iCs/>
        </w:rPr>
      </w:pPr>
      <w:r>
        <w:rPr>
          <w:rFonts w:hint="eastAsia" w:eastAsia="宋体"/>
          <w:i/>
          <w:iCs/>
        </w:rPr>
        <w:t>If a PUCCH resource is activated with one TCI state, no matter the RRC parameter is enabled or not, Rel-15/16 STRP PDCCH scheme is performed.</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11" w:name="_Ref446507216"/>
      <w:bookmarkEnd w:id="11"/>
      <w:bookmarkStart w:id="12" w:name="_Ref446506608"/>
      <w:bookmarkEnd w:id="12"/>
      <w:bookmarkStart w:id="13" w:name="_Ref446511358"/>
      <w:bookmarkEnd w:id="13"/>
    </w:p>
    <w:p>
      <w:pPr>
        <w:pStyle w:val="119"/>
        <w:spacing w:before="0" w:beforeLines="0" w:after="0" w:afterLines="0"/>
        <w:ind w:left="363" w:hanging="363"/>
        <w:rPr>
          <w:rFonts w:eastAsia="宋体"/>
          <w:szCs w:val="20"/>
        </w:rPr>
      </w:pPr>
      <w:r>
        <w:rPr>
          <w:bCs/>
          <w:szCs w:val="20"/>
        </w:rPr>
        <w:t>RP-213598, New WID: MIMO Evolution for Downlink and Uplink, Moderator</w:t>
      </w:r>
      <w:r>
        <w:rPr>
          <w:rFonts w:hint="eastAsia" w:eastAsia="宋体"/>
          <w:bCs/>
          <w:szCs w:val="20"/>
        </w:rPr>
        <w:t xml:space="preserve"> (</w:t>
      </w:r>
      <w:r>
        <w:rPr>
          <w:bCs/>
          <w:szCs w:val="20"/>
        </w:rPr>
        <w:t>Samsung</w:t>
      </w:r>
      <w:r>
        <w:rPr>
          <w:rFonts w:hint="eastAsia" w:eastAsia="宋体"/>
          <w:bCs/>
          <w:szCs w:val="20"/>
        </w:rPr>
        <w:t>)</w:t>
      </w:r>
    </w:p>
    <w:p>
      <w:pPr>
        <w:pStyle w:val="119"/>
        <w:spacing w:before="0" w:beforeLines="0" w:after="0" w:afterLines="0"/>
        <w:ind w:left="363" w:hanging="363"/>
        <w:jc w:val="left"/>
        <w:rPr>
          <w:rFonts w:eastAsia="宋体"/>
          <w:szCs w:val="20"/>
        </w:rPr>
      </w:pPr>
      <w:r>
        <w:rPr>
          <w:bCs/>
          <w:szCs w:val="20"/>
        </w:rPr>
        <w:t>R</w:t>
      </w:r>
      <w:r>
        <w:rPr>
          <w:rFonts w:hint="eastAsia" w:eastAsia="宋体"/>
          <w:bCs/>
          <w:szCs w:val="20"/>
        </w:rPr>
        <w:t>1</w:t>
      </w:r>
      <w:r>
        <w:rPr>
          <w:bCs/>
          <w:szCs w:val="20"/>
        </w:rPr>
        <w:t>-2</w:t>
      </w:r>
      <w:r>
        <w:rPr>
          <w:rFonts w:hint="eastAsia" w:eastAsia="宋体"/>
          <w:bCs/>
          <w:szCs w:val="20"/>
        </w:rPr>
        <w:t>306332</w:t>
      </w:r>
      <w:r>
        <w:rPr>
          <w:rFonts w:hint="eastAsia" w:eastAsia="宋体"/>
        </w:rPr>
        <w:t xml:space="preserve">, </w:t>
      </w:r>
      <w:r>
        <w:t>Introduction of specification support for MIMO enhancements on uTCI_STxMP_DMRS_SRS_8Tx_2TA</w:t>
      </w:r>
      <w:r>
        <w:rPr>
          <w:rFonts w:hint="eastAsia" w:eastAsia="宋体"/>
        </w:rPr>
        <w:t>, Nokia</w:t>
      </w:r>
    </w:p>
    <w:p>
      <w:pPr>
        <w:pStyle w:val="119"/>
        <w:spacing w:before="0" w:beforeLines="0" w:after="0" w:afterLines="0"/>
        <w:ind w:left="363" w:hanging="363"/>
        <w:rPr>
          <w:rFonts w:eastAsia="宋体"/>
          <w:szCs w:val="20"/>
        </w:rPr>
      </w:pPr>
      <w:r>
        <w:rPr>
          <w:szCs w:val="20"/>
        </w:rPr>
        <w:t>C</w:t>
      </w:r>
      <w:bookmarkStart w:id="14" w:name="_GoBack"/>
      <w:bookmarkEnd w:id="14"/>
      <w:r>
        <w:rPr>
          <w:szCs w:val="20"/>
        </w:rPr>
        <w:t>hair's Notes RAN1#1</w:t>
      </w:r>
      <w:r>
        <w:rPr>
          <w:rFonts w:eastAsia="宋体"/>
          <w:szCs w:val="20"/>
        </w:rPr>
        <w:t>1</w:t>
      </w:r>
      <w:r>
        <w:rPr>
          <w:rFonts w:hint="eastAsia" w:eastAsia="宋体"/>
          <w:szCs w:val="20"/>
        </w:rPr>
        <w:t>2b-e,</w:t>
      </w:r>
      <w:r>
        <w:rPr>
          <w:rFonts w:eastAsia="宋体"/>
          <w:szCs w:val="20"/>
        </w:rPr>
        <w:t xml:space="preserve"> </w:t>
      </w:r>
      <w:r>
        <w:rPr>
          <w:rFonts w:hint="eastAsia" w:eastAsia="宋体"/>
          <w:szCs w:val="20"/>
        </w:rPr>
        <w:t>April</w:t>
      </w:r>
      <w:r>
        <w:rPr>
          <w:szCs w:val="20"/>
        </w:rPr>
        <w:t xml:space="preserve"> </w:t>
      </w:r>
      <w:r>
        <w:rPr>
          <w:rFonts w:hint="eastAsia" w:eastAsia="宋体"/>
          <w:szCs w:val="20"/>
        </w:rPr>
        <w:t>17</w:t>
      </w:r>
      <w:r>
        <w:rPr>
          <w:szCs w:val="20"/>
          <w:vertAlign w:val="superscript"/>
        </w:rPr>
        <w:t>th</w:t>
      </w:r>
      <w:r>
        <w:rPr>
          <w:szCs w:val="20"/>
        </w:rPr>
        <w:t>-</w:t>
      </w:r>
      <w:r>
        <w:rPr>
          <w:rFonts w:hint="eastAsia" w:eastAsia="宋体"/>
          <w:szCs w:val="20"/>
        </w:rPr>
        <w:t xml:space="preserve"> April 26</w:t>
      </w:r>
      <w:r>
        <w:rPr>
          <w:rFonts w:hint="eastAsia" w:eastAsia="宋体"/>
          <w:szCs w:val="20"/>
          <w:vertAlign w:val="superscript"/>
        </w:rPr>
        <w:t>th</w:t>
      </w:r>
      <w:r>
        <w:rPr>
          <w:szCs w:val="20"/>
        </w:rPr>
        <w:t>, 202</w:t>
      </w:r>
      <w:r>
        <w:rPr>
          <w:rFonts w:hint="eastAsia" w:eastAsia="宋体"/>
          <w:szCs w:val="20"/>
        </w:rPr>
        <w:t>3</w:t>
      </w:r>
      <w:r>
        <w:rPr>
          <w:szCs w:val="20"/>
        </w:rPr>
        <w:t>,</w:t>
      </w:r>
      <w:r>
        <w:rPr>
          <w:rFonts w:eastAsia="宋体"/>
          <w:szCs w:val="20"/>
        </w:rPr>
        <w:t xml:space="preserve"> </w:t>
      </w:r>
      <w:r>
        <w:rPr>
          <w:szCs w:val="20"/>
        </w:rPr>
        <w:t>3GPP</w:t>
      </w:r>
      <w:r>
        <w:rPr>
          <w:rFonts w:eastAsia="宋体"/>
          <w:szCs w:val="20"/>
        </w:rPr>
        <w:t xml:space="preserve"> RAN1</w:t>
      </w:r>
    </w:p>
    <w:p>
      <w:pPr>
        <w:pStyle w:val="119"/>
        <w:spacing w:before="0" w:beforeLines="0" w:after="0" w:afterLines="0"/>
        <w:ind w:left="363" w:hanging="363"/>
        <w:rPr>
          <w:bCs/>
          <w:szCs w:val="20"/>
        </w:rPr>
      </w:pPr>
      <w:r>
        <w:rPr>
          <w:szCs w:val="20"/>
        </w:rPr>
        <w:t>Chair's Notes RAN1#1</w:t>
      </w:r>
      <w:r>
        <w:rPr>
          <w:rFonts w:eastAsia="宋体"/>
          <w:szCs w:val="20"/>
        </w:rPr>
        <w:t>1</w:t>
      </w:r>
      <w:r>
        <w:rPr>
          <w:rFonts w:hint="eastAsia" w:eastAsia="宋体"/>
          <w:szCs w:val="20"/>
        </w:rPr>
        <w:t>3</w:t>
      </w:r>
      <w:r>
        <w:rPr>
          <w:rFonts w:eastAsia="宋体"/>
          <w:szCs w:val="20"/>
        </w:rPr>
        <w:t xml:space="preserve">, </w:t>
      </w:r>
      <w:r>
        <w:rPr>
          <w:rFonts w:hint="eastAsia" w:eastAsia="宋体"/>
          <w:szCs w:val="20"/>
        </w:rPr>
        <w:t>May 22</w:t>
      </w:r>
      <w:r>
        <w:rPr>
          <w:rFonts w:hint="eastAsia" w:eastAsia="宋体"/>
          <w:szCs w:val="20"/>
          <w:vertAlign w:val="superscript"/>
        </w:rPr>
        <w:t>nd</w:t>
      </w:r>
      <w:r>
        <w:rPr>
          <w:szCs w:val="20"/>
        </w:rPr>
        <w:t>-</w:t>
      </w:r>
      <w:r>
        <w:rPr>
          <w:rFonts w:hint="eastAsia" w:eastAsia="宋体"/>
          <w:szCs w:val="20"/>
        </w:rPr>
        <w:t xml:space="preserve"> May 26</w:t>
      </w:r>
      <w:r>
        <w:rPr>
          <w:rFonts w:hint="eastAsia" w:eastAsia="宋体"/>
          <w:szCs w:val="20"/>
          <w:vertAlign w:val="superscript"/>
        </w:rPr>
        <w:t>th</w:t>
      </w:r>
      <w:r>
        <w:rPr>
          <w:szCs w:val="20"/>
        </w:rPr>
        <w:t>, 202</w:t>
      </w:r>
      <w:r>
        <w:rPr>
          <w:rFonts w:hint="eastAsia" w:eastAsia="宋体"/>
          <w:szCs w:val="20"/>
        </w:rPr>
        <w:t>3</w:t>
      </w:r>
      <w:r>
        <w:rPr>
          <w:szCs w:val="20"/>
        </w:rPr>
        <w:t>,</w:t>
      </w:r>
      <w:r>
        <w:rPr>
          <w:rFonts w:eastAsia="宋体"/>
          <w:szCs w:val="20"/>
        </w:rPr>
        <w:t xml:space="preserve"> </w:t>
      </w:r>
      <w:r>
        <w:rPr>
          <w:szCs w:val="20"/>
        </w:rPr>
        <w:t>3GPP</w:t>
      </w:r>
      <w:r>
        <w:rPr>
          <w:rFonts w:eastAsia="宋体"/>
          <w:szCs w:val="20"/>
        </w:rPr>
        <w:t xml:space="preserve"> RAN1</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0C9B9F"/>
    <w:multiLevelType w:val="singleLevel"/>
    <w:tmpl w:val="A00C9B9F"/>
    <w:lvl w:ilvl="0" w:tentative="0">
      <w:start w:val="1"/>
      <w:numFmt w:val="bullet"/>
      <w:lvlText w:val="·"/>
      <w:lvlJc w:val="left"/>
      <w:pPr>
        <w:tabs>
          <w:tab w:val="left" w:pos="420"/>
        </w:tabs>
        <w:ind w:left="840" w:hanging="420"/>
      </w:pPr>
      <w:rPr>
        <w:rFonts w:hint="default" w:ascii="宋体" w:hAnsi="宋体" w:eastAsia="宋体" w:cs="宋体"/>
      </w:rPr>
    </w:lvl>
  </w:abstractNum>
  <w:abstractNum w:abstractNumId="1">
    <w:nsid w:val="B11CE6D8"/>
    <w:multiLevelType w:val="singleLevel"/>
    <w:tmpl w:val="B11CE6D8"/>
    <w:lvl w:ilvl="0" w:tentative="0">
      <w:start w:val="1"/>
      <w:numFmt w:val="bullet"/>
      <w:lvlText w:val=""/>
      <w:lvlJc w:val="left"/>
      <w:pPr>
        <w:ind w:left="420" w:hanging="420"/>
      </w:pPr>
      <w:rPr>
        <w:rFonts w:hint="default" w:ascii="Wingdings" w:hAnsi="Wingdings"/>
      </w:rPr>
    </w:lvl>
  </w:abstractNum>
  <w:abstractNum w:abstractNumId="2">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CC289A11"/>
    <w:multiLevelType w:val="multilevel"/>
    <w:tmpl w:val="CC289A11"/>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D0F031C0"/>
    <w:multiLevelType w:val="singleLevel"/>
    <w:tmpl w:val="D0F031C0"/>
    <w:lvl w:ilvl="0" w:tentative="0">
      <w:start w:val="1"/>
      <w:numFmt w:val="bullet"/>
      <w:lvlText w:val=""/>
      <w:lvlJc w:val="left"/>
      <w:pPr>
        <w:ind w:left="420" w:hanging="420"/>
      </w:pPr>
      <w:rPr>
        <w:rFonts w:hint="default" w:ascii="Wingdings" w:hAnsi="Wingdings"/>
      </w:rPr>
    </w:lvl>
  </w:abstractNum>
  <w:abstractNum w:abstractNumId="5">
    <w:nsid w:val="060D3FFB"/>
    <w:multiLevelType w:val="multilevel"/>
    <w:tmpl w:val="060D3FFB"/>
    <w:lvl w:ilvl="0" w:tentative="0">
      <w:start w:val="1"/>
      <w:numFmt w:val="bullet"/>
      <w:pStyle w:val="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8D16807"/>
    <w:multiLevelType w:val="multilevel"/>
    <w:tmpl w:val="08D16807"/>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1283720B"/>
    <w:multiLevelType w:val="multilevel"/>
    <w:tmpl w:val="1283720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224E63FD"/>
    <w:multiLevelType w:val="multilevel"/>
    <w:tmpl w:val="224E63FD"/>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Tahoma" w:hAnsi="Tahoma"/>
      </w:rPr>
    </w:lvl>
    <w:lvl w:ilvl="2" w:tentative="0">
      <w:start w:val="1"/>
      <w:numFmt w:val="bullet"/>
      <w:lvlText w:val=""/>
      <w:lvlJc w:val="left"/>
      <w:pPr>
        <w:tabs>
          <w:tab w:val="left" w:pos="1260"/>
        </w:tabs>
        <w:ind w:left="1260" w:hanging="420"/>
      </w:pPr>
      <w:rPr>
        <w:rFonts w:hint="default" w:ascii="Tahoma" w:hAnsi="Tahoma"/>
      </w:rPr>
    </w:lvl>
    <w:lvl w:ilvl="3" w:tentative="0">
      <w:start w:val="1"/>
      <w:numFmt w:val="bullet"/>
      <w:lvlText w:val=""/>
      <w:lvlJc w:val="left"/>
      <w:pPr>
        <w:tabs>
          <w:tab w:val="left" w:pos="1680"/>
        </w:tabs>
        <w:ind w:left="1680" w:hanging="420"/>
      </w:pPr>
      <w:rPr>
        <w:rFonts w:hint="default" w:ascii="Tahoma" w:hAnsi="Tahoma"/>
      </w:rPr>
    </w:lvl>
    <w:lvl w:ilvl="4" w:tentative="0">
      <w:start w:val="1"/>
      <w:numFmt w:val="bullet"/>
      <w:lvlText w:val=""/>
      <w:lvlJc w:val="left"/>
      <w:pPr>
        <w:tabs>
          <w:tab w:val="left" w:pos="2100"/>
        </w:tabs>
        <w:ind w:left="2100" w:hanging="420"/>
      </w:pPr>
      <w:rPr>
        <w:rFonts w:hint="default" w:ascii="Tahoma" w:hAnsi="Tahoma"/>
      </w:rPr>
    </w:lvl>
    <w:lvl w:ilvl="5" w:tentative="0">
      <w:start w:val="1"/>
      <w:numFmt w:val="bullet"/>
      <w:lvlText w:val=""/>
      <w:lvlJc w:val="left"/>
      <w:pPr>
        <w:tabs>
          <w:tab w:val="left" w:pos="2520"/>
        </w:tabs>
        <w:ind w:left="2520" w:hanging="420"/>
      </w:pPr>
      <w:rPr>
        <w:rFonts w:hint="default" w:ascii="Tahoma" w:hAnsi="Tahoma"/>
      </w:rPr>
    </w:lvl>
    <w:lvl w:ilvl="6" w:tentative="0">
      <w:start w:val="1"/>
      <w:numFmt w:val="bullet"/>
      <w:lvlText w:val=""/>
      <w:lvlJc w:val="left"/>
      <w:pPr>
        <w:tabs>
          <w:tab w:val="left" w:pos="2940"/>
        </w:tabs>
        <w:ind w:left="2940" w:hanging="420"/>
      </w:pPr>
      <w:rPr>
        <w:rFonts w:hint="default" w:ascii="Tahoma" w:hAnsi="Tahoma"/>
      </w:rPr>
    </w:lvl>
    <w:lvl w:ilvl="7" w:tentative="0">
      <w:start w:val="1"/>
      <w:numFmt w:val="bullet"/>
      <w:lvlText w:val=""/>
      <w:lvlJc w:val="left"/>
      <w:pPr>
        <w:tabs>
          <w:tab w:val="left" w:pos="3360"/>
        </w:tabs>
        <w:ind w:left="3360" w:hanging="420"/>
      </w:pPr>
      <w:rPr>
        <w:rFonts w:hint="default" w:ascii="Tahoma" w:hAnsi="Tahoma"/>
      </w:rPr>
    </w:lvl>
    <w:lvl w:ilvl="8" w:tentative="0">
      <w:start w:val="1"/>
      <w:numFmt w:val="bullet"/>
      <w:lvlText w:val=""/>
      <w:lvlJc w:val="left"/>
      <w:pPr>
        <w:tabs>
          <w:tab w:val="left" w:pos="3780"/>
        </w:tabs>
        <w:ind w:left="3780" w:hanging="420"/>
      </w:pPr>
      <w:rPr>
        <w:rFonts w:hint="default" w:ascii="Tahoma" w:hAnsi="Tahoma"/>
      </w:rPr>
    </w:lvl>
  </w:abstractNum>
  <w:abstractNum w:abstractNumId="9">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0">
    <w:nsid w:val="34A73F6A"/>
    <w:multiLevelType w:val="multilevel"/>
    <w:tmpl w:val="34A73F6A"/>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Tahoma" w:hAnsi="Tahoma"/>
      </w:rPr>
    </w:lvl>
    <w:lvl w:ilvl="2" w:tentative="0">
      <w:start w:val="1"/>
      <w:numFmt w:val="bullet"/>
      <w:lvlText w:val=""/>
      <w:lvlJc w:val="left"/>
      <w:pPr>
        <w:tabs>
          <w:tab w:val="left" w:pos="1260"/>
        </w:tabs>
        <w:ind w:left="1260" w:hanging="420"/>
      </w:pPr>
      <w:rPr>
        <w:rFonts w:hint="default" w:ascii="Tahoma" w:hAnsi="Tahoma"/>
      </w:rPr>
    </w:lvl>
    <w:lvl w:ilvl="3" w:tentative="0">
      <w:start w:val="1"/>
      <w:numFmt w:val="bullet"/>
      <w:lvlText w:val=""/>
      <w:lvlJc w:val="left"/>
      <w:pPr>
        <w:tabs>
          <w:tab w:val="left" w:pos="1680"/>
        </w:tabs>
        <w:ind w:left="1680" w:hanging="420"/>
      </w:pPr>
      <w:rPr>
        <w:rFonts w:hint="default" w:ascii="Tahoma" w:hAnsi="Tahoma"/>
      </w:rPr>
    </w:lvl>
    <w:lvl w:ilvl="4" w:tentative="0">
      <w:start w:val="1"/>
      <w:numFmt w:val="bullet"/>
      <w:lvlText w:val=""/>
      <w:lvlJc w:val="left"/>
      <w:pPr>
        <w:tabs>
          <w:tab w:val="left" w:pos="2100"/>
        </w:tabs>
        <w:ind w:left="2100" w:hanging="420"/>
      </w:pPr>
      <w:rPr>
        <w:rFonts w:hint="default" w:ascii="Tahoma" w:hAnsi="Tahoma"/>
      </w:rPr>
    </w:lvl>
    <w:lvl w:ilvl="5" w:tentative="0">
      <w:start w:val="1"/>
      <w:numFmt w:val="bullet"/>
      <w:lvlText w:val=""/>
      <w:lvlJc w:val="left"/>
      <w:pPr>
        <w:tabs>
          <w:tab w:val="left" w:pos="2520"/>
        </w:tabs>
        <w:ind w:left="2520" w:hanging="420"/>
      </w:pPr>
      <w:rPr>
        <w:rFonts w:hint="default" w:ascii="Tahoma" w:hAnsi="Tahoma"/>
      </w:rPr>
    </w:lvl>
    <w:lvl w:ilvl="6" w:tentative="0">
      <w:start w:val="1"/>
      <w:numFmt w:val="bullet"/>
      <w:lvlText w:val=""/>
      <w:lvlJc w:val="left"/>
      <w:pPr>
        <w:tabs>
          <w:tab w:val="left" w:pos="2940"/>
        </w:tabs>
        <w:ind w:left="2940" w:hanging="420"/>
      </w:pPr>
      <w:rPr>
        <w:rFonts w:hint="default" w:ascii="Tahoma" w:hAnsi="Tahoma"/>
      </w:rPr>
    </w:lvl>
    <w:lvl w:ilvl="7" w:tentative="0">
      <w:start w:val="1"/>
      <w:numFmt w:val="bullet"/>
      <w:lvlText w:val=""/>
      <w:lvlJc w:val="left"/>
      <w:pPr>
        <w:tabs>
          <w:tab w:val="left" w:pos="3360"/>
        </w:tabs>
        <w:ind w:left="3360" w:hanging="420"/>
      </w:pPr>
      <w:rPr>
        <w:rFonts w:hint="default" w:ascii="Tahoma" w:hAnsi="Tahoma"/>
      </w:rPr>
    </w:lvl>
    <w:lvl w:ilvl="8" w:tentative="0">
      <w:start w:val="1"/>
      <w:numFmt w:val="bullet"/>
      <w:lvlText w:val=""/>
      <w:lvlJc w:val="left"/>
      <w:pPr>
        <w:tabs>
          <w:tab w:val="left" w:pos="3780"/>
        </w:tabs>
        <w:ind w:left="3780" w:hanging="420"/>
      </w:pPr>
      <w:rPr>
        <w:rFonts w:hint="default" w:ascii="Tahoma" w:hAnsi="Tahoma"/>
      </w:rPr>
    </w:lvl>
  </w:abstractNum>
  <w:abstractNum w:abstractNumId="11">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12">
    <w:nsid w:val="3CFB265E"/>
    <w:multiLevelType w:val="multilevel"/>
    <w:tmpl w:val="3CFB265E"/>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4D893C5B"/>
    <w:multiLevelType w:val="multilevel"/>
    <w:tmpl w:val="4D893C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F9BAE73"/>
    <w:multiLevelType w:val="multilevel"/>
    <w:tmpl w:val="5F9BAE73"/>
    <w:lvl w:ilvl="0" w:tentative="0">
      <w:start w:val="6"/>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6825279A"/>
    <w:multiLevelType w:val="multilevel"/>
    <w:tmpl w:val="6825279A"/>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69196EAA"/>
    <w:multiLevelType w:val="multilevel"/>
    <w:tmpl w:val="69196EAA"/>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Tahoma" w:hAnsi="Tahoma"/>
      </w:rPr>
    </w:lvl>
    <w:lvl w:ilvl="2" w:tentative="0">
      <w:start w:val="1"/>
      <w:numFmt w:val="bullet"/>
      <w:lvlText w:val=""/>
      <w:lvlJc w:val="left"/>
      <w:pPr>
        <w:tabs>
          <w:tab w:val="left" w:pos="1260"/>
        </w:tabs>
        <w:ind w:left="1260" w:hanging="420"/>
      </w:pPr>
      <w:rPr>
        <w:rFonts w:hint="default" w:ascii="Tahoma" w:hAnsi="Tahoma"/>
      </w:rPr>
    </w:lvl>
    <w:lvl w:ilvl="3" w:tentative="0">
      <w:start w:val="1"/>
      <w:numFmt w:val="bullet"/>
      <w:lvlText w:val=""/>
      <w:lvlJc w:val="left"/>
      <w:pPr>
        <w:tabs>
          <w:tab w:val="left" w:pos="1680"/>
        </w:tabs>
        <w:ind w:left="1680" w:hanging="420"/>
      </w:pPr>
      <w:rPr>
        <w:rFonts w:hint="default" w:ascii="Tahoma" w:hAnsi="Tahoma"/>
      </w:rPr>
    </w:lvl>
    <w:lvl w:ilvl="4" w:tentative="0">
      <w:start w:val="1"/>
      <w:numFmt w:val="bullet"/>
      <w:lvlText w:val=""/>
      <w:lvlJc w:val="left"/>
      <w:pPr>
        <w:tabs>
          <w:tab w:val="left" w:pos="2100"/>
        </w:tabs>
        <w:ind w:left="2100" w:hanging="420"/>
      </w:pPr>
      <w:rPr>
        <w:rFonts w:hint="default" w:ascii="Tahoma" w:hAnsi="Tahoma"/>
      </w:rPr>
    </w:lvl>
    <w:lvl w:ilvl="5" w:tentative="0">
      <w:start w:val="1"/>
      <w:numFmt w:val="bullet"/>
      <w:lvlText w:val=""/>
      <w:lvlJc w:val="left"/>
      <w:pPr>
        <w:tabs>
          <w:tab w:val="left" w:pos="2520"/>
        </w:tabs>
        <w:ind w:left="2520" w:hanging="420"/>
      </w:pPr>
      <w:rPr>
        <w:rFonts w:hint="default" w:ascii="Tahoma" w:hAnsi="Tahoma"/>
      </w:rPr>
    </w:lvl>
    <w:lvl w:ilvl="6" w:tentative="0">
      <w:start w:val="1"/>
      <w:numFmt w:val="bullet"/>
      <w:lvlText w:val=""/>
      <w:lvlJc w:val="left"/>
      <w:pPr>
        <w:tabs>
          <w:tab w:val="left" w:pos="2940"/>
        </w:tabs>
        <w:ind w:left="2940" w:hanging="420"/>
      </w:pPr>
      <w:rPr>
        <w:rFonts w:hint="default" w:ascii="Tahoma" w:hAnsi="Tahoma"/>
      </w:rPr>
    </w:lvl>
    <w:lvl w:ilvl="7" w:tentative="0">
      <w:start w:val="1"/>
      <w:numFmt w:val="bullet"/>
      <w:lvlText w:val=""/>
      <w:lvlJc w:val="left"/>
      <w:pPr>
        <w:tabs>
          <w:tab w:val="left" w:pos="3360"/>
        </w:tabs>
        <w:ind w:left="3360" w:hanging="420"/>
      </w:pPr>
      <w:rPr>
        <w:rFonts w:hint="default" w:ascii="Tahoma" w:hAnsi="Tahoma"/>
      </w:rPr>
    </w:lvl>
    <w:lvl w:ilvl="8" w:tentative="0">
      <w:start w:val="1"/>
      <w:numFmt w:val="bullet"/>
      <w:lvlText w:val=""/>
      <w:lvlJc w:val="left"/>
      <w:pPr>
        <w:tabs>
          <w:tab w:val="left" w:pos="3780"/>
        </w:tabs>
        <w:ind w:left="3780" w:hanging="420"/>
      </w:pPr>
      <w:rPr>
        <w:rFonts w:hint="default" w:ascii="Tahoma" w:hAnsi="Tahoma"/>
      </w:rPr>
    </w:lvl>
  </w:abstractNum>
  <w:abstractNum w:abstractNumId="17">
    <w:nsid w:val="6A7B33D3"/>
    <w:multiLevelType w:val="multilevel"/>
    <w:tmpl w:val="6A7B33D3"/>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9"/>
  </w:num>
  <w:num w:numId="2">
    <w:abstractNumId w:val="2"/>
  </w:num>
  <w:num w:numId="3">
    <w:abstractNumId w:val="5"/>
  </w:num>
  <w:num w:numId="4">
    <w:abstractNumId w:val="11"/>
  </w:num>
  <w:num w:numId="5">
    <w:abstractNumId w:val="14"/>
  </w:num>
  <w:num w:numId="6">
    <w:abstractNumId w:val="17"/>
  </w:num>
  <w:num w:numId="7">
    <w:abstractNumId w:val="6"/>
  </w:num>
  <w:num w:numId="8">
    <w:abstractNumId w:val="12"/>
  </w:num>
  <w:num w:numId="9">
    <w:abstractNumId w:val="15"/>
  </w:num>
  <w:num w:numId="10">
    <w:abstractNumId w:val="16"/>
  </w:num>
  <w:num w:numId="11">
    <w:abstractNumId w:val="10"/>
  </w:num>
  <w:num w:numId="12">
    <w:abstractNumId w:val="3"/>
  </w:num>
  <w:num w:numId="13">
    <w:abstractNumId w:val="4"/>
  </w:num>
  <w:num w:numId="14">
    <w:abstractNumId w:val="1"/>
  </w:num>
  <w:num w:numId="15">
    <w:abstractNumId w:val="13"/>
  </w:num>
  <w:num w:numId="16">
    <w:abstractNumId w:val="7"/>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70F0"/>
    <w:rsid w:val="00AE732B"/>
    <w:rsid w:val="00AE7518"/>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24B45"/>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7633E"/>
    <w:rsid w:val="01277DC4"/>
    <w:rsid w:val="012A3A95"/>
    <w:rsid w:val="012C4DA3"/>
    <w:rsid w:val="013D6F71"/>
    <w:rsid w:val="013E578E"/>
    <w:rsid w:val="013E7A62"/>
    <w:rsid w:val="013F77A7"/>
    <w:rsid w:val="01410839"/>
    <w:rsid w:val="01464BA9"/>
    <w:rsid w:val="014664ED"/>
    <w:rsid w:val="014707BD"/>
    <w:rsid w:val="01482A7D"/>
    <w:rsid w:val="014A37FE"/>
    <w:rsid w:val="0150122D"/>
    <w:rsid w:val="01503044"/>
    <w:rsid w:val="015308CA"/>
    <w:rsid w:val="015363EC"/>
    <w:rsid w:val="01554CAC"/>
    <w:rsid w:val="0158367E"/>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C705C"/>
    <w:rsid w:val="018E19C2"/>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27FD"/>
    <w:rsid w:val="01AF459D"/>
    <w:rsid w:val="01B20D56"/>
    <w:rsid w:val="01B23007"/>
    <w:rsid w:val="01B2539C"/>
    <w:rsid w:val="01B53E85"/>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36482"/>
    <w:rsid w:val="01F4101C"/>
    <w:rsid w:val="01F473CB"/>
    <w:rsid w:val="01F5589F"/>
    <w:rsid w:val="01F82D24"/>
    <w:rsid w:val="01FD51F1"/>
    <w:rsid w:val="01FE3DEF"/>
    <w:rsid w:val="02006E9F"/>
    <w:rsid w:val="02012FA6"/>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E5171"/>
    <w:rsid w:val="022F6EEA"/>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3075E"/>
    <w:rsid w:val="026366BD"/>
    <w:rsid w:val="02643DBB"/>
    <w:rsid w:val="02683E5D"/>
    <w:rsid w:val="02694556"/>
    <w:rsid w:val="026D6E1D"/>
    <w:rsid w:val="026E4FF0"/>
    <w:rsid w:val="0272371C"/>
    <w:rsid w:val="0279141E"/>
    <w:rsid w:val="02816A16"/>
    <w:rsid w:val="02850C76"/>
    <w:rsid w:val="02881878"/>
    <w:rsid w:val="02884D22"/>
    <w:rsid w:val="02897B0D"/>
    <w:rsid w:val="028B1319"/>
    <w:rsid w:val="028B43CF"/>
    <w:rsid w:val="028D5083"/>
    <w:rsid w:val="02911C0E"/>
    <w:rsid w:val="02923407"/>
    <w:rsid w:val="02926F66"/>
    <w:rsid w:val="0295017D"/>
    <w:rsid w:val="02980BB5"/>
    <w:rsid w:val="029F5E47"/>
    <w:rsid w:val="02A454E1"/>
    <w:rsid w:val="02A51C2A"/>
    <w:rsid w:val="02A608F9"/>
    <w:rsid w:val="02A64C6D"/>
    <w:rsid w:val="02AE74F1"/>
    <w:rsid w:val="02AF0F75"/>
    <w:rsid w:val="02B23334"/>
    <w:rsid w:val="02B350A6"/>
    <w:rsid w:val="02B82856"/>
    <w:rsid w:val="02B86D86"/>
    <w:rsid w:val="02BE34FC"/>
    <w:rsid w:val="02BF33C7"/>
    <w:rsid w:val="02C250DE"/>
    <w:rsid w:val="02C346C6"/>
    <w:rsid w:val="02CB318E"/>
    <w:rsid w:val="02D837DA"/>
    <w:rsid w:val="02D947F5"/>
    <w:rsid w:val="02DA1D68"/>
    <w:rsid w:val="02DC531B"/>
    <w:rsid w:val="02E011A8"/>
    <w:rsid w:val="02E20FF5"/>
    <w:rsid w:val="02E5775B"/>
    <w:rsid w:val="02E60F49"/>
    <w:rsid w:val="02E71B36"/>
    <w:rsid w:val="02E73962"/>
    <w:rsid w:val="02EC48A9"/>
    <w:rsid w:val="02EE3822"/>
    <w:rsid w:val="02F33BBF"/>
    <w:rsid w:val="02F75AF2"/>
    <w:rsid w:val="02F948D8"/>
    <w:rsid w:val="02FA772F"/>
    <w:rsid w:val="030554B2"/>
    <w:rsid w:val="030628EF"/>
    <w:rsid w:val="030B1677"/>
    <w:rsid w:val="030D371C"/>
    <w:rsid w:val="03114BEE"/>
    <w:rsid w:val="03140137"/>
    <w:rsid w:val="03151A99"/>
    <w:rsid w:val="0317021F"/>
    <w:rsid w:val="03195942"/>
    <w:rsid w:val="0319759C"/>
    <w:rsid w:val="031F0D91"/>
    <w:rsid w:val="031F5D55"/>
    <w:rsid w:val="032047F5"/>
    <w:rsid w:val="03271536"/>
    <w:rsid w:val="032756B6"/>
    <w:rsid w:val="032979AF"/>
    <w:rsid w:val="032F14A8"/>
    <w:rsid w:val="03345E69"/>
    <w:rsid w:val="03357F1A"/>
    <w:rsid w:val="033624DF"/>
    <w:rsid w:val="03370373"/>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45C22"/>
    <w:rsid w:val="03663A2A"/>
    <w:rsid w:val="0367463E"/>
    <w:rsid w:val="036A5BBA"/>
    <w:rsid w:val="036D5EC2"/>
    <w:rsid w:val="03705764"/>
    <w:rsid w:val="03736763"/>
    <w:rsid w:val="037530A0"/>
    <w:rsid w:val="03792FAE"/>
    <w:rsid w:val="037C519C"/>
    <w:rsid w:val="03803BAB"/>
    <w:rsid w:val="03815A92"/>
    <w:rsid w:val="03850AC8"/>
    <w:rsid w:val="03886F35"/>
    <w:rsid w:val="0389173B"/>
    <w:rsid w:val="038F2645"/>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C6659"/>
    <w:rsid w:val="03ED1A58"/>
    <w:rsid w:val="03EF11E1"/>
    <w:rsid w:val="03F15F02"/>
    <w:rsid w:val="03F22B4F"/>
    <w:rsid w:val="03F25073"/>
    <w:rsid w:val="03F44BEB"/>
    <w:rsid w:val="03F77583"/>
    <w:rsid w:val="03FA63C4"/>
    <w:rsid w:val="03FB37B1"/>
    <w:rsid w:val="03FB3B31"/>
    <w:rsid w:val="03FE072E"/>
    <w:rsid w:val="03FF32CE"/>
    <w:rsid w:val="04007820"/>
    <w:rsid w:val="0407149F"/>
    <w:rsid w:val="04085AC5"/>
    <w:rsid w:val="040907E6"/>
    <w:rsid w:val="040D09A7"/>
    <w:rsid w:val="040F0473"/>
    <w:rsid w:val="04155F5B"/>
    <w:rsid w:val="042142F2"/>
    <w:rsid w:val="04222EF0"/>
    <w:rsid w:val="04251C2B"/>
    <w:rsid w:val="04261F7C"/>
    <w:rsid w:val="042827BF"/>
    <w:rsid w:val="04282C2D"/>
    <w:rsid w:val="042F523F"/>
    <w:rsid w:val="04320D1F"/>
    <w:rsid w:val="04324D45"/>
    <w:rsid w:val="04343F5E"/>
    <w:rsid w:val="043B4BBE"/>
    <w:rsid w:val="04464EB7"/>
    <w:rsid w:val="04486CDC"/>
    <w:rsid w:val="044E7C06"/>
    <w:rsid w:val="04510550"/>
    <w:rsid w:val="04520C2F"/>
    <w:rsid w:val="0454366F"/>
    <w:rsid w:val="045B780E"/>
    <w:rsid w:val="045E58B9"/>
    <w:rsid w:val="04627DC2"/>
    <w:rsid w:val="04630BA7"/>
    <w:rsid w:val="046A149D"/>
    <w:rsid w:val="046A75AA"/>
    <w:rsid w:val="047906F6"/>
    <w:rsid w:val="047A7C88"/>
    <w:rsid w:val="047D3BDA"/>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12B9D"/>
    <w:rsid w:val="04CA4F9C"/>
    <w:rsid w:val="04CE1F84"/>
    <w:rsid w:val="04CF6597"/>
    <w:rsid w:val="04D650EF"/>
    <w:rsid w:val="04D860BA"/>
    <w:rsid w:val="04DB0B60"/>
    <w:rsid w:val="04DF01BD"/>
    <w:rsid w:val="04E132F6"/>
    <w:rsid w:val="04E26543"/>
    <w:rsid w:val="04E463DE"/>
    <w:rsid w:val="04E80A25"/>
    <w:rsid w:val="04E82ABB"/>
    <w:rsid w:val="04EB22F3"/>
    <w:rsid w:val="04EB2669"/>
    <w:rsid w:val="04EC1FE0"/>
    <w:rsid w:val="04F271FD"/>
    <w:rsid w:val="04F56BED"/>
    <w:rsid w:val="04F76F1A"/>
    <w:rsid w:val="04F924AC"/>
    <w:rsid w:val="04F95196"/>
    <w:rsid w:val="04F95B5A"/>
    <w:rsid w:val="04FA16FE"/>
    <w:rsid w:val="04FD3B9E"/>
    <w:rsid w:val="050047DB"/>
    <w:rsid w:val="05022469"/>
    <w:rsid w:val="050606B5"/>
    <w:rsid w:val="050644F4"/>
    <w:rsid w:val="050A33BC"/>
    <w:rsid w:val="050C7E97"/>
    <w:rsid w:val="050F2ACF"/>
    <w:rsid w:val="0512368C"/>
    <w:rsid w:val="0516612D"/>
    <w:rsid w:val="05170029"/>
    <w:rsid w:val="05190AE6"/>
    <w:rsid w:val="051B5F92"/>
    <w:rsid w:val="051F2908"/>
    <w:rsid w:val="05244E3D"/>
    <w:rsid w:val="05273597"/>
    <w:rsid w:val="052A14E7"/>
    <w:rsid w:val="052A64E9"/>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7AFA"/>
    <w:rsid w:val="054A2A50"/>
    <w:rsid w:val="054A710B"/>
    <w:rsid w:val="054D015B"/>
    <w:rsid w:val="054E139C"/>
    <w:rsid w:val="05501159"/>
    <w:rsid w:val="05505897"/>
    <w:rsid w:val="0553438E"/>
    <w:rsid w:val="05543708"/>
    <w:rsid w:val="055563AC"/>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AF0975"/>
    <w:rsid w:val="05B636DA"/>
    <w:rsid w:val="05B728FE"/>
    <w:rsid w:val="05B84651"/>
    <w:rsid w:val="05C63876"/>
    <w:rsid w:val="05C96E7C"/>
    <w:rsid w:val="05CA4822"/>
    <w:rsid w:val="05CC1FD8"/>
    <w:rsid w:val="05CD572A"/>
    <w:rsid w:val="05CF0362"/>
    <w:rsid w:val="05D02F51"/>
    <w:rsid w:val="05D10E9A"/>
    <w:rsid w:val="05D16CC5"/>
    <w:rsid w:val="05D32D84"/>
    <w:rsid w:val="05D70DBB"/>
    <w:rsid w:val="05D7661F"/>
    <w:rsid w:val="05DB18D1"/>
    <w:rsid w:val="05DC59BB"/>
    <w:rsid w:val="05DE4F22"/>
    <w:rsid w:val="05E142F0"/>
    <w:rsid w:val="05E30DE6"/>
    <w:rsid w:val="05EF047B"/>
    <w:rsid w:val="05F141D7"/>
    <w:rsid w:val="05F20EBF"/>
    <w:rsid w:val="05F6471F"/>
    <w:rsid w:val="05FC1701"/>
    <w:rsid w:val="05FC58AD"/>
    <w:rsid w:val="06030478"/>
    <w:rsid w:val="06085E9E"/>
    <w:rsid w:val="060D756E"/>
    <w:rsid w:val="060E3A4E"/>
    <w:rsid w:val="060F142B"/>
    <w:rsid w:val="060F3D48"/>
    <w:rsid w:val="06122747"/>
    <w:rsid w:val="06123C23"/>
    <w:rsid w:val="0613014E"/>
    <w:rsid w:val="06133CE2"/>
    <w:rsid w:val="0615172A"/>
    <w:rsid w:val="06175A5B"/>
    <w:rsid w:val="06216986"/>
    <w:rsid w:val="06236F2E"/>
    <w:rsid w:val="062671C4"/>
    <w:rsid w:val="062750DC"/>
    <w:rsid w:val="062C5BDF"/>
    <w:rsid w:val="062D0004"/>
    <w:rsid w:val="062D1201"/>
    <w:rsid w:val="062D4104"/>
    <w:rsid w:val="062F5DFD"/>
    <w:rsid w:val="06303A88"/>
    <w:rsid w:val="063308B0"/>
    <w:rsid w:val="06335645"/>
    <w:rsid w:val="063534F6"/>
    <w:rsid w:val="0635676A"/>
    <w:rsid w:val="063A4316"/>
    <w:rsid w:val="063F52C3"/>
    <w:rsid w:val="064245DF"/>
    <w:rsid w:val="0646102A"/>
    <w:rsid w:val="0649278E"/>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8000D"/>
    <w:rsid w:val="06982050"/>
    <w:rsid w:val="06986574"/>
    <w:rsid w:val="069E5179"/>
    <w:rsid w:val="06A1179B"/>
    <w:rsid w:val="06A27BF1"/>
    <w:rsid w:val="06A33721"/>
    <w:rsid w:val="06A42354"/>
    <w:rsid w:val="06A475E6"/>
    <w:rsid w:val="06A953D8"/>
    <w:rsid w:val="06A966F0"/>
    <w:rsid w:val="06AF2B54"/>
    <w:rsid w:val="06B220D6"/>
    <w:rsid w:val="06B40DB1"/>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F357C"/>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142E8D"/>
    <w:rsid w:val="07150861"/>
    <w:rsid w:val="071864D8"/>
    <w:rsid w:val="071A5DD4"/>
    <w:rsid w:val="072646FC"/>
    <w:rsid w:val="07265560"/>
    <w:rsid w:val="07313446"/>
    <w:rsid w:val="073315C6"/>
    <w:rsid w:val="07353ABC"/>
    <w:rsid w:val="073D1632"/>
    <w:rsid w:val="07457F2F"/>
    <w:rsid w:val="07465B85"/>
    <w:rsid w:val="07491A92"/>
    <w:rsid w:val="074D74D3"/>
    <w:rsid w:val="074F2C45"/>
    <w:rsid w:val="07542B56"/>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81F41"/>
    <w:rsid w:val="07EA2373"/>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137D"/>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8C0A80"/>
    <w:rsid w:val="08902245"/>
    <w:rsid w:val="0891203F"/>
    <w:rsid w:val="08926E36"/>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B173E"/>
    <w:rsid w:val="08BD5D0D"/>
    <w:rsid w:val="08C11390"/>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C080A"/>
    <w:rsid w:val="08EF3AF5"/>
    <w:rsid w:val="08EF7088"/>
    <w:rsid w:val="08F418CB"/>
    <w:rsid w:val="08F6319A"/>
    <w:rsid w:val="08F65922"/>
    <w:rsid w:val="08F65A1B"/>
    <w:rsid w:val="08F95574"/>
    <w:rsid w:val="08FC454D"/>
    <w:rsid w:val="08FF0667"/>
    <w:rsid w:val="09011059"/>
    <w:rsid w:val="090229ED"/>
    <w:rsid w:val="09033CCF"/>
    <w:rsid w:val="090476FB"/>
    <w:rsid w:val="09077702"/>
    <w:rsid w:val="09084694"/>
    <w:rsid w:val="09096C2B"/>
    <w:rsid w:val="090C5FA0"/>
    <w:rsid w:val="090E43AD"/>
    <w:rsid w:val="090F0DAD"/>
    <w:rsid w:val="090F7698"/>
    <w:rsid w:val="090F7C20"/>
    <w:rsid w:val="09103D4B"/>
    <w:rsid w:val="091311F9"/>
    <w:rsid w:val="09133754"/>
    <w:rsid w:val="091461EC"/>
    <w:rsid w:val="09152428"/>
    <w:rsid w:val="09174D3E"/>
    <w:rsid w:val="09184989"/>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E45F5"/>
    <w:rsid w:val="095F014B"/>
    <w:rsid w:val="096048A5"/>
    <w:rsid w:val="096A138B"/>
    <w:rsid w:val="096B78B5"/>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26F35"/>
    <w:rsid w:val="09965AEE"/>
    <w:rsid w:val="09973371"/>
    <w:rsid w:val="099D3B4F"/>
    <w:rsid w:val="09A0008F"/>
    <w:rsid w:val="09A04D3F"/>
    <w:rsid w:val="09A6025E"/>
    <w:rsid w:val="09A63558"/>
    <w:rsid w:val="09A64096"/>
    <w:rsid w:val="09A72A18"/>
    <w:rsid w:val="09A867AB"/>
    <w:rsid w:val="09AB0C4A"/>
    <w:rsid w:val="09AD57BA"/>
    <w:rsid w:val="09B1142A"/>
    <w:rsid w:val="09B24A90"/>
    <w:rsid w:val="09B43537"/>
    <w:rsid w:val="09B670A5"/>
    <w:rsid w:val="09B72A4E"/>
    <w:rsid w:val="09BA1F1C"/>
    <w:rsid w:val="09BC26A2"/>
    <w:rsid w:val="09BF3E7D"/>
    <w:rsid w:val="09BF5DB6"/>
    <w:rsid w:val="09BF6086"/>
    <w:rsid w:val="09BF68B2"/>
    <w:rsid w:val="09C1683C"/>
    <w:rsid w:val="09C759AA"/>
    <w:rsid w:val="09C77625"/>
    <w:rsid w:val="09C95166"/>
    <w:rsid w:val="09CB1DC7"/>
    <w:rsid w:val="09CB4A0D"/>
    <w:rsid w:val="09CB7FF5"/>
    <w:rsid w:val="09CF596E"/>
    <w:rsid w:val="09D53D08"/>
    <w:rsid w:val="09D71AB8"/>
    <w:rsid w:val="09DA1C63"/>
    <w:rsid w:val="09DA2205"/>
    <w:rsid w:val="09DA7815"/>
    <w:rsid w:val="09DE297E"/>
    <w:rsid w:val="09DF1D83"/>
    <w:rsid w:val="09E47073"/>
    <w:rsid w:val="09E53803"/>
    <w:rsid w:val="09E6169E"/>
    <w:rsid w:val="09ED6D34"/>
    <w:rsid w:val="09F01539"/>
    <w:rsid w:val="09F23A47"/>
    <w:rsid w:val="09F33CEA"/>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51C2C"/>
    <w:rsid w:val="0A251C3F"/>
    <w:rsid w:val="0A2C2309"/>
    <w:rsid w:val="0A326751"/>
    <w:rsid w:val="0A331439"/>
    <w:rsid w:val="0A333D23"/>
    <w:rsid w:val="0A3404EE"/>
    <w:rsid w:val="0A340D57"/>
    <w:rsid w:val="0A3728F9"/>
    <w:rsid w:val="0A3929BF"/>
    <w:rsid w:val="0A3D6C53"/>
    <w:rsid w:val="0A444451"/>
    <w:rsid w:val="0A463584"/>
    <w:rsid w:val="0A4B759E"/>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35AF"/>
    <w:rsid w:val="0A916F1C"/>
    <w:rsid w:val="0A9C4F60"/>
    <w:rsid w:val="0A9F1014"/>
    <w:rsid w:val="0AA55846"/>
    <w:rsid w:val="0AA831B9"/>
    <w:rsid w:val="0AAB048D"/>
    <w:rsid w:val="0AAB733F"/>
    <w:rsid w:val="0AAC1C8D"/>
    <w:rsid w:val="0AAD6920"/>
    <w:rsid w:val="0AB12265"/>
    <w:rsid w:val="0AB80BC9"/>
    <w:rsid w:val="0ABA06F0"/>
    <w:rsid w:val="0ABE7BB8"/>
    <w:rsid w:val="0ABF6B82"/>
    <w:rsid w:val="0AC42A22"/>
    <w:rsid w:val="0AC977B5"/>
    <w:rsid w:val="0ACC25CD"/>
    <w:rsid w:val="0ACD0E54"/>
    <w:rsid w:val="0ACE52DC"/>
    <w:rsid w:val="0ACF0A8A"/>
    <w:rsid w:val="0AD0057A"/>
    <w:rsid w:val="0AD7069B"/>
    <w:rsid w:val="0AD83F75"/>
    <w:rsid w:val="0ADC39CE"/>
    <w:rsid w:val="0AE27C3A"/>
    <w:rsid w:val="0AE46BC4"/>
    <w:rsid w:val="0AE53B92"/>
    <w:rsid w:val="0AEB19FB"/>
    <w:rsid w:val="0AF050D9"/>
    <w:rsid w:val="0AF25C12"/>
    <w:rsid w:val="0AF57B25"/>
    <w:rsid w:val="0AF71EB2"/>
    <w:rsid w:val="0AF802C4"/>
    <w:rsid w:val="0AF8344D"/>
    <w:rsid w:val="0AFA0740"/>
    <w:rsid w:val="0AFA0E95"/>
    <w:rsid w:val="0B01276B"/>
    <w:rsid w:val="0B021B7B"/>
    <w:rsid w:val="0B027558"/>
    <w:rsid w:val="0B0369AF"/>
    <w:rsid w:val="0B0458A8"/>
    <w:rsid w:val="0B047716"/>
    <w:rsid w:val="0B096F7F"/>
    <w:rsid w:val="0B0B68B2"/>
    <w:rsid w:val="0B0D4D27"/>
    <w:rsid w:val="0B0E7577"/>
    <w:rsid w:val="0B1105A4"/>
    <w:rsid w:val="0B157097"/>
    <w:rsid w:val="0B1C7510"/>
    <w:rsid w:val="0B1D642F"/>
    <w:rsid w:val="0B1F3B10"/>
    <w:rsid w:val="0B2512AA"/>
    <w:rsid w:val="0B261605"/>
    <w:rsid w:val="0B2706D8"/>
    <w:rsid w:val="0B2E114F"/>
    <w:rsid w:val="0B2E704D"/>
    <w:rsid w:val="0B2F35EC"/>
    <w:rsid w:val="0B33531C"/>
    <w:rsid w:val="0B33618E"/>
    <w:rsid w:val="0B364E3B"/>
    <w:rsid w:val="0B383678"/>
    <w:rsid w:val="0B3D6687"/>
    <w:rsid w:val="0B463D82"/>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F5024"/>
    <w:rsid w:val="0B704916"/>
    <w:rsid w:val="0B711688"/>
    <w:rsid w:val="0B720B96"/>
    <w:rsid w:val="0B7415DA"/>
    <w:rsid w:val="0B761633"/>
    <w:rsid w:val="0B78261E"/>
    <w:rsid w:val="0B7A7DD0"/>
    <w:rsid w:val="0B7C285B"/>
    <w:rsid w:val="0B7D03B8"/>
    <w:rsid w:val="0B7D3E3B"/>
    <w:rsid w:val="0B7E3D79"/>
    <w:rsid w:val="0B8143ED"/>
    <w:rsid w:val="0B86257D"/>
    <w:rsid w:val="0B8C773C"/>
    <w:rsid w:val="0B8D1801"/>
    <w:rsid w:val="0B8D50E4"/>
    <w:rsid w:val="0B8F19FD"/>
    <w:rsid w:val="0B9467E0"/>
    <w:rsid w:val="0B952CB4"/>
    <w:rsid w:val="0B976414"/>
    <w:rsid w:val="0B9A5383"/>
    <w:rsid w:val="0B9A6C97"/>
    <w:rsid w:val="0B9B42F5"/>
    <w:rsid w:val="0B9C6FAC"/>
    <w:rsid w:val="0BA00657"/>
    <w:rsid w:val="0BA020D3"/>
    <w:rsid w:val="0BA0509A"/>
    <w:rsid w:val="0BA25C3F"/>
    <w:rsid w:val="0BA925EC"/>
    <w:rsid w:val="0BAC22A5"/>
    <w:rsid w:val="0BAE3EB4"/>
    <w:rsid w:val="0BBC1F64"/>
    <w:rsid w:val="0BC04D8D"/>
    <w:rsid w:val="0BC74117"/>
    <w:rsid w:val="0BCB58F1"/>
    <w:rsid w:val="0BCB5F05"/>
    <w:rsid w:val="0BCF4FC3"/>
    <w:rsid w:val="0BD6477A"/>
    <w:rsid w:val="0BD74D8F"/>
    <w:rsid w:val="0BD90960"/>
    <w:rsid w:val="0BDB67A0"/>
    <w:rsid w:val="0BDC44F0"/>
    <w:rsid w:val="0BDD1742"/>
    <w:rsid w:val="0BE075E7"/>
    <w:rsid w:val="0BE2789C"/>
    <w:rsid w:val="0BE80418"/>
    <w:rsid w:val="0BEF3011"/>
    <w:rsid w:val="0BF30E80"/>
    <w:rsid w:val="0BF52A54"/>
    <w:rsid w:val="0BF5635B"/>
    <w:rsid w:val="0BF7040D"/>
    <w:rsid w:val="0BFC77DA"/>
    <w:rsid w:val="0BFE7534"/>
    <w:rsid w:val="0BFF068D"/>
    <w:rsid w:val="0C02425E"/>
    <w:rsid w:val="0C041A0E"/>
    <w:rsid w:val="0C045A42"/>
    <w:rsid w:val="0C0462D1"/>
    <w:rsid w:val="0C06292F"/>
    <w:rsid w:val="0C0A52DD"/>
    <w:rsid w:val="0C0A5A8E"/>
    <w:rsid w:val="0C0B63CE"/>
    <w:rsid w:val="0C0F332D"/>
    <w:rsid w:val="0C115A42"/>
    <w:rsid w:val="0C116D0F"/>
    <w:rsid w:val="0C117D66"/>
    <w:rsid w:val="0C1827A9"/>
    <w:rsid w:val="0C187D62"/>
    <w:rsid w:val="0C1C16ED"/>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54EC"/>
    <w:rsid w:val="0C46759B"/>
    <w:rsid w:val="0C47183B"/>
    <w:rsid w:val="0C4852B3"/>
    <w:rsid w:val="0C4A6AF9"/>
    <w:rsid w:val="0C4B5125"/>
    <w:rsid w:val="0C515919"/>
    <w:rsid w:val="0C55338F"/>
    <w:rsid w:val="0C5577EB"/>
    <w:rsid w:val="0C581814"/>
    <w:rsid w:val="0C5B3545"/>
    <w:rsid w:val="0C5E41CC"/>
    <w:rsid w:val="0C5E7113"/>
    <w:rsid w:val="0C630806"/>
    <w:rsid w:val="0C645663"/>
    <w:rsid w:val="0C6E5C0F"/>
    <w:rsid w:val="0C6F5539"/>
    <w:rsid w:val="0C765E2D"/>
    <w:rsid w:val="0C796E1B"/>
    <w:rsid w:val="0C7E6BBF"/>
    <w:rsid w:val="0C813BB4"/>
    <w:rsid w:val="0C8576F2"/>
    <w:rsid w:val="0C865FB7"/>
    <w:rsid w:val="0C9008F9"/>
    <w:rsid w:val="0C903FE4"/>
    <w:rsid w:val="0C9502D8"/>
    <w:rsid w:val="0C950CBF"/>
    <w:rsid w:val="0C9638F5"/>
    <w:rsid w:val="0C9F7471"/>
    <w:rsid w:val="0CA0141D"/>
    <w:rsid w:val="0CA925C8"/>
    <w:rsid w:val="0CA95859"/>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D95B9A"/>
    <w:rsid w:val="0CE0507C"/>
    <w:rsid w:val="0CE45E4F"/>
    <w:rsid w:val="0CE67B74"/>
    <w:rsid w:val="0CE925B5"/>
    <w:rsid w:val="0CEA4634"/>
    <w:rsid w:val="0CEC488F"/>
    <w:rsid w:val="0CEE1332"/>
    <w:rsid w:val="0CF175F3"/>
    <w:rsid w:val="0CF3195D"/>
    <w:rsid w:val="0CF34253"/>
    <w:rsid w:val="0CFA5BFE"/>
    <w:rsid w:val="0CFA75AC"/>
    <w:rsid w:val="0CFF0DED"/>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7057"/>
    <w:rsid w:val="0D2B70E1"/>
    <w:rsid w:val="0D2C0579"/>
    <w:rsid w:val="0D2C6DB5"/>
    <w:rsid w:val="0D302DEA"/>
    <w:rsid w:val="0D30458B"/>
    <w:rsid w:val="0D312381"/>
    <w:rsid w:val="0D3166A2"/>
    <w:rsid w:val="0D316FFB"/>
    <w:rsid w:val="0D322B2C"/>
    <w:rsid w:val="0D324F37"/>
    <w:rsid w:val="0D344E5C"/>
    <w:rsid w:val="0D357426"/>
    <w:rsid w:val="0D3825BE"/>
    <w:rsid w:val="0D394518"/>
    <w:rsid w:val="0D3E5C68"/>
    <w:rsid w:val="0D406F28"/>
    <w:rsid w:val="0D4111C4"/>
    <w:rsid w:val="0D416FDD"/>
    <w:rsid w:val="0D423271"/>
    <w:rsid w:val="0D4C0D5C"/>
    <w:rsid w:val="0D4F339C"/>
    <w:rsid w:val="0D507F99"/>
    <w:rsid w:val="0D533B38"/>
    <w:rsid w:val="0D5C27E8"/>
    <w:rsid w:val="0D5C7536"/>
    <w:rsid w:val="0D5D0D59"/>
    <w:rsid w:val="0D5D462A"/>
    <w:rsid w:val="0D5F69EA"/>
    <w:rsid w:val="0D617912"/>
    <w:rsid w:val="0D6372C3"/>
    <w:rsid w:val="0D645433"/>
    <w:rsid w:val="0D652B72"/>
    <w:rsid w:val="0D665951"/>
    <w:rsid w:val="0D6667A6"/>
    <w:rsid w:val="0D666ACC"/>
    <w:rsid w:val="0D6727D9"/>
    <w:rsid w:val="0D6A6258"/>
    <w:rsid w:val="0D6D02D2"/>
    <w:rsid w:val="0D6E5110"/>
    <w:rsid w:val="0D6E6D10"/>
    <w:rsid w:val="0D704C8F"/>
    <w:rsid w:val="0D715DE4"/>
    <w:rsid w:val="0D7466F5"/>
    <w:rsid w:val="0D780C14"/>
    <w:rsid w:val="0D782183"/>
    <w:rsid w:val="0D7B5452"/>
    <w:rsid w:val="0D7C190F"/>
    <w:rsid w:val="0D7E044D"/>
    <w:rsid w:val="0D7F5F50"/>
    <w:rsid w:val="0D820473"/>
    <w:rsid w:val="0D85738D"/>
    <w:rsid w:val="0D8D594E"/>
    <w:rsid w:val="0D8F5055"/>
    <w:rsid w:val="0D982389"/>
    <w:rsid w:val="0D9B251E"/>
    <w:rsid w:val="0D9B564C"/>
    <w:rsid w:val="0DA05989"/>
    <w:rsid w:val="0DA1493A"/>
    <w:rsid w:val="0DA26759"/>
    <w:rsid w:val="0DA401E1"/>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5C0C"/>
    <w:rsid w:val="0E2C67A2"/>
    <w:rsid w:val="0E2E56FA"/>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A7CFD"/>
    <w:rsid w:val="0EAE2563"/>
    <w:rsid w:val="0EAE3E2D"/>
    <w:rsid w:val="0EAF6D0C"/>
    <w:rsid w:val="0EB3137D"/>
    <w:rsid w:val="0EB318DE"/>
    <w:rsid w:val="0EB35036"/>
    <w:rsid w:val="0EB52315"/>
    <w:rsid w:val="0EB816F6"/>
    <w:rsid w:val="0EB84AB6"/>
    <w:rsid w:val="0EB976EC"/>
    <w:rsid w:val="0EC13D85"/>
    <w:rsid w:val="0EC23165"/>
    <w:rsid w:val="0EC30343"/>
    <w:rsid w:val="0EC4122E"/>
    <w:rsid w:val="0ECB3E7A"/>
    <w:rsid w:val="0ECF019C"/>
    <w:rsid w:val="0ED24AE3"/>
    <w:rsid w:val="0ED608FC"/>
    <w:rsid w:val="0ED755F8"/>
    <w:rsid w:val="0ED8044D"/>
    <w:rsid w:val="0ED81E6C"/>
    <w:rsid w:val="0ED96555"/>
    <w:rsid w:val="0EDA5B63"/>
    <w:rsid w:val="0EDC64AF"/>
    <w:rsid w:val="0EE373BE"/>
    <w:rsid w:val="0EE54EBA"/>
    <w:rsid w:val="0EE6429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2C44F2"/>
    <w:rsid w:val="0F3149D0"/>
    <w:rsid w:val="0F3331C4"/>
    <w:rsid w:val="0F3379C5"/>
    <w:rsid w:val="0F390C58"/>
    <w:rsid w:val="0F392512"/>
    <w:rsid w:val="0F3E48EC"/>
    <w:rsid w:val="0F3E4ED6"/>
    <w:rsid w:val="0F3F2189"/>
    <w:rsid w:val="0F3F716D"/>
    <w:rsid w:val="0F422BDE"/>
    <w:rsid w:val="0F446802"/>
    <w:rsid w:val="0F446DA2"/>
    <w:rsid w:val="0F472E6E"/>
    <w:rsid w:val="0F4763BA"/>
    <w:rsid w:val="0F4B7691"/>
    <w:rsid w:val="0F52135A"/>
    <w:rsid w:val="0F552637"/>
    <w:rsid w:val="0F593646"/>
    <w:rsid w:val="0F593DB1"/>
    <w:rsid w:val="0F662E6E"/>
    <w:rsid w:val="0F663202"/>
    <w:rsid w:val="0F663533"/>
    <w:rsid w:val="0F6A0E23"/>
    <w:rsid w:val="0F6D033A"/>
    <w:rsid w:val="0F701348"/>
    <w:rsid w:val="0F720355"/>
    <w:rsid w:val="0F743D8D"/>
    <w:rsid w:val="0F74639C"/>
    <w:rsid w:val="0F7465F4"/>
    <w:rsid w:val="0F753717"/>
    <w:rsid w:val="0F7859C0"/>
    <w:rsid w:val="0F7B0F67"/>
    <w:rsid w:val="0F7B24DB"/>
    <w:rsid w:val="0F7B41CA"/>
    <w:rsid w:val="0F7F4D1A"/>
    <w:rsid w:val="0F876A1A"/>
    <w:rsid w:val="0F892CC2"/>
    <w:rsid w:val="0F8A61EE"/>
    <w:rsid w:val="0F8B0523"/>
    <w:rsid w:val="0F8B64A8"/>
    <w:rsid w:val="0F8B6A7D"/>
    <w:rsid w:val="0F8E2E7B"/>
    <w:rsid w:val="0F950C14"/>
    <w:rsid w:val="0F9A5881"/>
    <w:rsid w:val="0FA1061B"/>
    <w:rsid w:val="0FA1621D"/>
    <w:rsid w:val="0FA24896"/>
    <w:rsid w:val="0FA51405"/>
    <w:rsid w:val="0FA51830"/>
    <w:rsid w:val="0FA61AB9"/>
    <w:rsid w:val="0FA914CC"/>
    <w:rsid w:val="0FAF7EDA"/>
    <w:rsid w:val="0FB14C64"/>
    <w:rsid w:val="0FB4699C"/>
    <w:rsid w:val="0FBA15CB"/>
    <w:rsid w:val="0FBA48F2"/>
    <w:rsid w:val="0FBA74FE"/>
    <w:rsid w:val="0FC47113"/>
    <w:rsid w:val="0FC51A02"/>
    <w:rsid w:val="0FC6018D"/>
    <w:rsid w:val="0FC60E69"/>
    <w:rsid w:val="0FCD10B3"/>
    <w:rsid w:val="0FCD3797"/>
    <w:rsid w:val="0FCE732A"/>
    <w:rsid w:val="0FD05A18"/>
    <w:rsid w:val="0FD53CC0"/>
    <w:rsid w:val="0FD763E6"/>
    <w:rsid w:val="0FDC156D"/>
    <w:rsid w:val="0FDD409A"/>
    <w:rsid w:val="0FE94BC2"/>
    <w:rsid w:val="0FF06333"/>
    <w:rsid w:val="0FF31786"/>
    <w:rsid w:val="0FF7745B"/>
    <w:rsid w:val="0FF8542D"/>
    <w:rsid w:val="0FF91639"/>
    <w:rsid w:val="0FF960E9"/>
    <w:rsid w:val="0FFB0FDB"/>
    <w:rsid w:val="0FFE5ABF"/>
    <w:rsid w:val="0FFE7C12"/>
    <w:rsid w:val="100068DB"/>
    <w:rsid w:val="10024DF0"/>
    <w:rsid w:val="10027648"/>
    <w:rsid w:val="1009683E"/>
    <w:rsid w:val="101236D8"/>
    <w:rsid w:val="10126E1C"/>
    <w:rsid w:val="10145DEA"/>
    <w:rsid w:val="101A1193"/>
    <w:rsid w:val="101E7B10"/>
    <w:rsid w:val="10200A27"/>
    <w:rsid w:val="1020529A"/>
    <w:rsid w:val="10241F33"/>
    <w:rsid w:val="102536A4"/>
    <w:rsid w:val="10284952"/>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015C9"/>
    <w:rsid w:val="10440AE6"/>
    <w:rsid w:val="104458CD"/>
    <w:rsid w:val="104A0E06"/>
    <w:rsid w:val="104A10B2"/>
    <w:rsid w:val="104B28C2"/>
    <w:rsid w:val="104F6831"/>
    <w:rsid w:val="10532C49"/>
    <w:rsid w:val="105A1DD0"/>
    <w:rsid w:val="105A3145"/>
    <w:rsid w:val="10611403"/>
    <w:rsid w:val="106354CB"/>
    <w:rsid w:val="106610B4"/>
    <w:rsid w:val="106737C8"/>
    <w:rsid w:val="106A4DA6"/>
    <w:rsid w:val="106C50CB"/>
    <w:rsid w:val="106E6A74"/>
    <w:rsid w:val="106F5E49"/>
    <w:rsid w:val="106F7A8C"/>
    <w:rsid w:val="10703C62"/>
    <w:rsid w:val="107113A6"/>
    <w:rsid w:val="107412B4"/>
    <w:rsid w:val="107639F8"/>
    <w:rsid w:val="10774D06"/>
    <w:rsid w:val="10797D1C"/>
    <w:rsid w:val="107B1378"/>
    <w:rsid w:val="107D144D"/>
    <w:rsid w:val="10824C00"/>
    <w:rsid w:val="108377B0"/>
    <w:rsid w:val="10894E34"/>
    <w:rsid w:val="108C392C"/>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AE31E4"/>
    <w:rsid w:val="10B167FB"/>
    <w:rsid w:val="10B25871"/>
    <w:rsid w:val="10B3628B"/>
    <w:rsid w:val="10B4052B"/>
    <w:rsid w:val="10B76FB0"/>
    <w:rsid w:val="10B87538"/>
    <w:rsid w:val="10BC0498"/>
    <w:rsid w:val="10BC3C7B"/>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11B48"/>
    <w:rsid w:val="10E50FFB"/>
    <w:rsid w:val="10E74B09"/>
    <w:rsid w:val="10F36760"/>
    <w:rsid w:val="10F440ED"/>
    <w:rsid w:val="10F451BC"/>
    <w:rsid w:val="10F84FB6"/>
    <w:rsid w:val="10FE148A"/>
    <w:rsid w:val="11000C85"/>
    <w:rsid w:val="11042ED4"/>
    <w:rsid w:val="11056484"/>
    <w:rsid w:val="110932AA"/>
    <w:rsid w:val="110972A6"/>
    <w:rsid w:val="110C189E"/>
    <w:rsid w:val="110C723D"/>
    <w:rsid w:val="110D3351"/>
    <w:rsid w:val="110D45FD"/>
    <w:rsid w:val="11122F2D"/>
    <w:rsid w:val="111455BB"/>
    <w:rsid w:val="11165149"/>
    <w:rsid w:val="11181CFA"/>
    <w:rsid w:val="111D429F"/>
    <w:rsid w:val="111F75D0"/>
    <w:rsid w:val="11217B13"/>
    <w:rsid w:val="11264AF9"/>
    <w:rsid w:val="112B1ABD"/>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9245F"/>
    <w:rsid w:val="11595012"/>
    <w:rsid w:val="115F68FC"/>
    <w:rsid w:val="11604034"/>
    <w:rsid w:val="11606DC1"/>
    <w:rsid w:val="11626DB8"/>
    <w:rsid w:val="11633057"/>
    <w:rsid w:val="11635BD3"/>
    <w:rsid w:val="11640979"/>
    <w:rsid w:val="11643702"/>
    <w:rsid w:val="11652DCA"/>
    <w:rsid w:val="11655B91"/>
    <w:rsid w:val="11683084"/>
    <w:rsid w:val="116976C7"/>
    <w:rsid w:val="116F5A47"/>
    <w:rsid w:val="11704DAD"/>
    <w:rsid w:val="11712BC3"/>
    <w:rsid w:val="11723A00"/>
    <w:rsid w:val="11730FF1"/>
    <w:rsid w:val="117616E4"/>
    <w:rsid w:val="117953BE"/>
    <w:rsid w:val="1182106E"/>
    <w:rsid w:val="1186134B"/>
    <w:rsid w:val="118A2800"/>
    <w:rsid w:val="119401FB"/>
    <w:rsid w:val="11945057"/>
    <w:rsid w:val="119B2F67"/>
    <w:rsid w:val="119C3796"/>
    <w:rsid w:val="11A04A30"/>
    <w:rsid w:val="11A21F00"/>
    <w:rsid w:val="11A30815"/>
    <w:rsid w:val="11A52D27"/>
    <w:rsid w:val="11A53A5B"/>
    <w:rsid w:val="11A57955"/>
    <w:rsid w:val="11AA51A8"/>
    <w:rsid w:val="11AC2930"/>
    <w:rsid w:val="11B114E4"/>
    <w:rsid w:val="11B501CA"/>
    <w:rsid w:val="11B53347"/>
    <w:rsid w:val="11B67CCC"/>
    <w:rsid w:val="11B971C1"/>
    <w:rsid w:val="11BE5040"/>
    <w:rsid w:val="11C63CF3"/>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6092A"/>
    <w:rsid w:val="11F80EA3"/>
    <w:rsid w:val="11FB33DA"/>
    <w:rsid w:val="11FD7A77"/>
    <w:rsid w:val="11FE4208"/>
    <w:rsid w:val="11FE4DF6"/>
    <w:rsid w:val="11FE60F5"/>
    <w:rsid w:val="1204043B"/>
    <w:rsid w:val="12040AF6"/>
    <w:rsid w:val="12066F5E"/>
    <w:rsid w:val="120B7D4C"/>
    <w:rsid w:val="12125791"/>
    <w:rsid w:val="12166DD4"/>
    <w:rsid w:val="121A496B"/>
    <w:rsid w:val="121B5CF0"/>
    <w:rsid w:val="12254FD7"/>
    <w:rsid w:val="12266B4E"/>
    <w:rsid w:val="12271FFE"/>
    <w:rsid w:val="122772E1"/>
    <w:rsid w:val="122C4775"/>
    <w:rsid w:val="12310EF8"/>
    <w:rsid w:val="1234470C"/>
    <w:rsid w:val="12381C5B"/>
    <w:rsid w:val="123A6DD8"/>
    <w:rsid w:val="123D7968"/>
    <w:rsid w:val="123F4E21"/>
    <w:rsid w:val="12432478"/>
    <w:rsid w:val="124374F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092F"/>
    <w:rsid w:val="127C4F1A"/>
    <w:rsid w:val="127E41D7"/>
    <w:rsid w:val="128670C0"/>
    <w:rsid w:val="1289393C"/>
    <w:rsid w:val="128A108B"/>
    <w:rsid w:val="128B01B8"/>
    <w:rsid w:val="128B2AB4"/>
    <w:rsid w:val="1292025B"/>
    <w:rsid w:val="129277BA"/>
    <w:rsid w:val="129855DE"/>
    <w:rsid w:val="129906D5"/>
    <w:rsid w:val="129A238B"/>
    <w:rsid w:val="129D6D95"/>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238F"/>
    <w:rsid w:val="12D86BC4"/>
    <w:rsid w:val="12D86D93"/>
    <w:rsid w:val="12DA624F"/>
    <w:rsid w:val="12DB55D4"/>
    <w:rsid w:val="12DC6F05"/>
    <w:rsid w:val="12E26A09"/>
    <w:rsid w:val="12EB290C"/>
    <w:rsid w:val="12EB36AF"/>
    <w:rsid w:val="12EC61B0"/>
    <w:rsid w:val="12F56491"/>
    <w:rsid w:val="12F57CC3"/>
    <w:rsid w:val="12F667CD"/>
    <w:rsid w:val="12F70376"/>
    <w:rsid w:val="12F977F3"/>
    <w:rsid w:val="12FC40B6"/>
    <w:rsid w:val="12FD367F"/>
    <w:rsid w:val="12FD3C15"/>
    <w:rsid w:val="1303394B"/>
    <w:rsid w:val="13054554"/>
    <w:rsid w:val="13055E8B"/>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C1BD4"/>
    <w:rsid w:val="132F52BF"/>
    <w:rsid w:val="1330793A"/>
    <w:rsid w:val="13363F6A"/>
    <w:rsid w:val="1337187E"/>
    <w:rsid w:val="13395893"/>
    <w:rsid w:val="1343353A"/>
    <w:rsid w:val="13437033"/>
    <w:rsid w:val="134566EF"/>
    <w:rsid w:val="1347022A"/>
    <w:rsid w:val="134822ED"/>
    <w:rsid w:val="13496975"/>
    <w:rsid w:val="134D0C34"/>
    <w:rsid w:val="134E4423"/>
    <w:rsid w:val="13502D1B"/>
    <w:rsid w:val="13562D13"/>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E02B6"/>
    <w:rsid w:val="13805505"/>
    <w:rsid w:val="13842181"/>
    <w:rsid w:val="138704DF"/>
    <w:rsid w:val="13902FDD"/>
    <w:rsid w:val="13926ADA"/>
    <w:rsid w:val="13953760"/>
    <w:rsid w:val="13954F2D"/>
    <w:rsid w:val="13A831CD"/>
    <w:rsid w:val="13AA1B19"/>
    <w:rsid w:val="13AD64C6"/>
    <w:rsid w:val="13B52753"/>
    <w:rsid w:val="13B76905"/>
    <w:rsid w:val="13B775DD"/>
    <w:rsid w:val="13C33028"/>
    <w:rsid w:val="13C7078B"/>
    <w:rsid w:val="13CA7ABE"/>
    <w:rsid w:val="13D13798"/>
    <w:rsid w:val="13D54736"/>
    <w:rsid w:val="13D84D40"/>
    <w:rsid w:val="13D87FBC"/>
    <w:rsid w:val="13D9077F"/>
    <w:rsid w:val="13E12ED6"/>
    <w:rsid w:val="13E16051"/>
    <w:rsid w:val="13E65352"/>
    <w:rsid w:val="13E70E55"/>
    <w:rsid w:val="13ED1AEF"/>
    <w:rsid w:val="13F17D74"/>
    <w:rsid w:val="13F23119"/>
    <w:rsid w:val="13F520E8"/>
    <w:rsid w:val="13F93156"/>
    <w:rsid w:val="13FB1E0C"/>
    <w:rsid w:val="13FB6861"/>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B2781"/>
    <w:rsid w:val="142D6E3A"/>
    <w:rsid w:val="142F138D"/>
    <w:rsid w:val="14306430"/>
    <w:rsid w:val="14316CD8"/>
    <w:rsid w:val="14322294"/>
    <w:rsid w:val="14333FB1"/>
    <w:rsid w:val="14341BF9"/>
    <w:rsid w:val="143760E2"/>
    <w:rsid w:val="143C4416"/>
    <w:rsid w:val="144C208D"/>
    <w:rsid w:val="144E0C42"/>
    <w:rsid w:val="144E10A4"/>
    <w:rsid w:val="144F0B3A"/>
    <w:rsid w:val="145205CA"/>
    <w:rsid w:val="14526B1D"/>
    <w:rsid w:val="1457468E"/>
    <w:rsid w:val="145E5409"/>
    <w:rsid w:val="145E5731"/>
    <w:rsid w:val="14602AE7"/>
    <w:rsid w:val="14634560"/>
    <w:rsid w:val="14672BDA"/>
    <w:rsid w:val="146A5866"/>
    <w:rsid w:val="146F66BB"/>
    <w:rsid w:val="14711409"/>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1C50"/>
    <w:rsid w:val="14BB2E7D"/>
    <w:rsid w:val="14BB3058"/>
    <w:rsid w:val="14BE0D0E"/>
    <w:rsid w:val="14C17947"/>
    <w:rsid w:val="14C4594F"/>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A74FF"/>
    <w:rsid w:val="154C60B5"/>
    <w:rsid w:val="154E0322"/>
    <w:rsid w:val="154F724C"/>
    <w:rsid w:val="15504BB8"/>
    <w:rsid w:val="1556259F"/>
    <w:rsid w:val="155661AF"/>
    <w:rsid w:val="15577058"/>
    <w:rsid w:val="155B43D0"/>
    <w:rsid w:val="155E63CC"/>
    <w:rsid w:val="15612071"/>
    <w:rsid w:val="15631C8C"/>
    <w:rsid w:val="15634FEB"/>
    <w:rsid w:val="156530CC"/>
    <w:rsid w:val="156B29C3"/>
    <w:rsid w:val="156B4A83"/>
    <w:rsid w:val="156E022A"/>
    <w:rsid w:val="156F2065"/>
    <w:rsid w:val="157155C2"/>
    <w:rsid w:val="15723159"/>
    <w:rsid w:val="15727D02"/>
    <w:rsid w:val="15732B39"/>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548D"/>
    <w:rsid w:val="15AD5FD5"/>
    <w:rsid w:val="15AE0533"/>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511C6"/>
    <w:rsid w:val="16051FDC"/>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73BB0"/>
    <w:rsid w:val="16273FB8"/>
    <w:rsid w:val="16281E46"/>
    <w:rsid w:val="16296BBD"/>
    <w:rsid w:val="162E5D9F"/>
    <w:rsid w:val="162F3379"/>
    <w:rsid w:val="16345863"/>
    <w:rsid w:val="16392A66"/>
    <w:rsid w:val="163A5ED0"/>
    <w:rsid w:val="163B51FF"/>
    <w:rsid w:val="163C1F41"/>
    <w:rsid w:val="163C495D"/>
    <w:rsid w:val="16402198"/>
    <w:rsid w:val="1640665E"/>
    <w:rsid w:val="16451889"/>
    <w:rsid w:val="1647712D"/>
    <w:rsid w:val="16477204"/>
    <w:rsid w:val="164C1B21"/>
    <w:rsid w:val="164C2A4A"/>
    <w:rsid w:val="16556F98"/>
    <w:rsid w:val="165607D3"/>
    <w:rsid w:val="165771D3"/>
    <w:rsid w:val="165A3B69"/>
    <w:rsid w:val="165E78B2"/>
    <w:rsid w:val="165F116F"/>
    <w:rsid w:val="166343C8"/>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E22EF"/>
    <w:rsid w:val="16B00129"/>
    <w:rsid w:val="16B566F5"/>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610A"/>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01756"/>
    <w:rsid w:val="172130EF"/>
    <w:rsid w:val="172256FE"/>
    <w:rsid w:val="17230268"/>
    <w:rsid w:val="172B23B2"/>
    <w:rsid w:val="172C3239"/>
    <w:rsid w:val="172E1C87"/>
    <w:rsid w:val="172F739B"/>
    <w:rsid w:val="173044F6"/>
    <w:rsid w:val="17320406"/>
    <w:rsid w:val="173216E3"/>
    <w:rsid w:val="173275C7"/>
    <w:rsid w:val="173710F4"/>
    <w:rsid w:val="173838A5"/>
    <w:rsid w:val="1739698C"/>
    <w:rsid w:val="173D0B7E"/>
    <w:rsid w:val="173D251E"/>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5AC1"/>
    <w:rsid w:val="17AA7DD5"/>
    <w:rsid w:val="17AC24B0"/>
    <w:rsid w:val="17B20CCF"/>
    <w:rsid w:val="17B25755"/>
    <w:rsid w:val="17B70D41"/>
    <w:rsid w:val="17B833FA"/>
    <w:rsid w:val="17BA100E"/>
    <w:rsid w:val="17BC2AF2"/>
    <w:rsid w:val="17C20E1B"/>
    <w:rsid w:val="17C35331"/>
    <w:rsid w:val="17C64186"/>
    <w:rsid w:val="17C82B07"/>
    <w:rsid w:val="17C92F2E"/>
    <w:rsid w:val="17C971E8"/>
    <w:rsid w:val="17CC145D"/>
    <w:rsid w:val="17CC2A6C"/>
    <w:rsid w:val="17CC643A"/>
    <w:rsid w:val="17CE4992"/>
    <w:rsid w:val="17D13E2D"/>
    <w:rsid w:val="17D3197D"/>
    <w:rsid w:val="17D37AC4"/>
    <w:rsid w:val="17D409E1"/>
    <w:rsid w:val="17D53F6E"/>
    <w:rsid w:val="17D80A06"/>
    <w:rsid w:val="17DB76EA"/>
    <w:rsid w:val="17DD1CC4"/>
    <w:rsid w:val="17DD6FB9"/>
    <w:rsid w:val="17E50CD9"/>
    <w:rsid w:val="17E93116"/>
    <w:rsid w:val="17F25D18"/>
    <w:rsid w:val="17F314F0"/>
    <w:rsid w:val="17F322B2"/>
    <w:rsid w:val="17F51567"/>
    <w:rsid w:val="17F742B6"/>
    <w:rsid w:val="17FA033C"/>
    <w:rsid w:val="17FB62B0"/>
    <w:rsid w:val="1801398E"/>
    <w:rsid w:val="1804167E"/>
    <w:rsid w:val="180567E8"/>
    <w:rsid w:val="18060429"/>
    <w:rsid w:val="18062279"/>
    <w:rsid w:val="18087722"/>
    <w:rsid w:val="18091017"/>
    <w:rsid w:val="180A6D52"/>
    <w:rsid w:val="180B67D5"/>
    <w:rsid w:val="180D4D91"/>
    <w:rsid w:val="180E3B88"/>
    <w:rsid w:val="180E5F23"/>
    <w:rsid w:val="18136E70"/>
    <w:rsid w:val="18175E2B"/>
    <w:rsid w:val="181C5228"/>
    <w:rsid w:val="18200B47"/>
    <w:rsid w:val="18204E8A"/>
    <w:rsid w:val="18226EDE"/>
    <w:rsid w:val="182271F6"/>
    <w:rsid w:val="18244A09"/>
    <w:rsid w:val="18245107"/>
    <w:rsid w:val="182678E6"/>
    <w:rsid w:val="18342A3B"/>
    <w:rsid w:val="18343729"/>
    <w:rsid w:val="18344AFE"/>
    <w:rsid w:val="18411ECD"/>
    <w:rsid w:val="18504D88"/>
    <w:rsid w:val="18534C5C"/>
    <w:rsid w:val="185433BD"/>
    <w:rsid w:val="18570AD5"/>
    <w:rsid w:val="185B3389"/>
    <w:rsid w:val="185B62F4"/>
    <w:rsid w:val="185B7CD9"/>
    <w:rsid w:val="18607E5A"/>
    <w:rsid w:val="1865608A"/>
    <w:rsid w:val="18661FBD"/>
    <w:rsid w:val="1866750B"/>
    <w:rsid w:val="186A215B"/>
    <w:rsid w:val="186A4295"/>
    <w:rsid w:val="186B3879"/>
    <w:rsid w:val="186E02A8"/>
    <w:rsid w:val="186F4FB5"/>
    <w:rsid w:val="18732F81"/>
    <w:rsid w:val="187479FA"/>
    <w:rsid w:val="1879383C"/>
    <w:rsid w:val="187F595A"/>
    <w:rsid w:val="18826B78"/>
    <w:rsid w:val="18892051"/>
    <w:rsid w:val="188A50C3"/>
    <w:rsid w:val="188B7649"/>
    <w:rsid w:val="188C0339"/>
    <w:rsid w:val="188F1FFD"/>
    <w:rsid w:val="189069CC"/>
    <w:rsid w:val="1891192D"/>
    <w:rsid w:val="1892531D"/>
    <w:rsid w:val="189441BD"/>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D23E0"/>
    <w:rsid w:val="18BE7070"/>
    <w:rsid w:val="18C03451"/>
    <w:rsid w:val="18C049B8"/>
    <w:rsid w:val="18C343A0"/>
    <w:rsid w:val="18C42384"/>
    <w:rsid w:val="18C51BF0"/>
    <w:rsid w:val="18C563DC"/>
    <w:rsid w:val="18C56F66"/>
    <w:rsid w:val="18C83151"/>
    <w:rsid w:val="18C9453A"/>
    <w:rsid w:val="18C968A6"/>
    <w:rsid w:val="18CB28BA"/>
    <w:rsid w:val="18CC7094"/>
    <w:rsid w:val="18CD0B6D"/>
    <w:rsid w:val="18CE48B6"/>
    <w:rsid w:val="18D026FA"/>
    <w:rsid w:val="18D35269"/>
    <w:rsid w:val="18D9361E"/>
    <w:rsid w:val="18DC7D3E"/>
    <w:rsid w:val="18DE6880"/>
    <w:rsid w:val="18E024D1"/>
    <w:rsid w:val="18E9561A"/>
    <w:rsid w:val="18F03349"/>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230D4A"/>
    <w:rsid w:val="19291D36"/>
    <w:rsid w:val="192B1588"/>
    <w:rsid w:val="192D164C"/>
    <w:rsid w:val="192F0077"/>
    <w:rsid w:val="19344521"/>
    <w:rsid w:val="193F17C8"/>
    <w:rsid w:val="19433D41"/>
    <w:rsid w:val="194C3A8F"/>
    <w:rsid w:val="194D4F82"/>
    <w:rsid w:val="194D7925"/>
    <w:rsid w:val="194F69A6"/>
    <w:rsid w:val="1950570D"/>
    <w:rsid w:val="19510278"/>
    <w:rsid w:val="19512E68"/>
    <w:rsid w:val="19551BB7"/>
    <w:rsid w:val="19562CA8"/>
    <w:rsid w:val="195F53CE"/>
    <w:rsid w:val="19604CBC"/>
    <w:rsid w:val="19622BBE"/>
    <w:rsid w:val="196425B7"/>
    <w:rsid w:val="19665E27"/>
    <w:rsid w:val="196666AF"/>
    <w:rsid w:val="19685F92"/>
    <w:rsid w:val="1969214C"/>
    <w:rsid w:val="196A6D34"/>
    <w:rsid w:val="196E624F"/>
    <w:rsid w:val="19715351"/>
    <w:rsid w:val="19764163"/>
    <w:rsid w:val="197C4E4F"/>
    <w:rsid w:val="197D41E7"/>
    <w:rsid w:val="197F5E82"/>
    <w:rsid w:val="19802EEC"/>
    <w:rsid w:val="19806A64"/>
    <w:rsid w:val="1989430A"/>
    <w:rsid w:val="198A05E8"/>
    <w:rsid w:val="19917D8D"/>
    <w:rsid w:val="19921804"/>
    <w:rsid w:val="19965D59"/>
    <w:rsid w:val="199E76BA"/>
    <w:rsid w:val="19A24A4C"/>
    <w:rsid w:val="19A27A8D"/>
    <w:rsid w:val="19A42FDC"/>
    <w:rsid w:val="19AA0147"/>
    <w:rsid w:val="19AE0D9A"/>
    <w:rsid w:val="19AE732F"/>
    <w:rsid w:val="19B03C14"/>
    <w:rsid w:val="19B26EAB"/>
    <w:rsid w:val="19B42E83"/>
    <w:rsid w:val="19B476A3"/>
    <w:rsid w:val="19B753AA"/>
    <w:rsid w:val="19BC6BA0"/>
    <w:rsid w:val="19C24DD8"/>
    <w:rsid w:val="19C30557"/>
    <w:rsid w:val="19C41149"/>
    <w:rsid w:val="19C51754"/>
    <w:rsid w:val="19C57DB0"/>
    <w:rsid w:val="19C71E55"/>
    <w:rsid w:val="19C80A45"/>
    <w:rsid w:val="19C81954"/>
    <w:rsid w:val="19CF29C7"/>
    <w:rsid w:val="19D17625"/>
    <w:rsid w:val="19D334EB"/>
    <w:rsid w:val="19D43920"/>
    <w:rsid w:val="19D73480"/>
    <w:rsid w:val="19D94A15"/>
    <w:rsid w:val="19DC27FE"/>
    <w:rsid w:val="19DC52AC"/>
    <w:rsid w:val="19DF4D9E"/>
    <w:rsid w:val="19E04E59"/>
    <w:rsid w:val="19E607BA"/>
    <w:rsid w:val="19E863DB"/>
    <w:rsid w:val="19EA191E"/>
    <w:rsid w:val="19EB7243"/>
    <w:rsid w:val="19EC7D83"/>
    <w:rsid w:val="19EF7F91"/>
    <w:rsid w:val="19F13A90"/>
    <w:rsid w:val="19F26D29"/>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C714E"/>
    <w:rsid w:val="1A2E197F"/>
    <w:rsid w:val="1A2E7033"/>
    <w:rsid w:val="1A2F451C"/>
    <w:rsid w:val="1A2F497E"/>
    <w:rsid w:val="1A30276B"/>
    <w:rsid w:val="1A320C0B"/>
    <w:rsid w:val="1A32121E"/>
    <w:rsid w:val="1A373B0B"/>
    <w:rsid w:val="1A3C5177"/>
    <w:rsid w:val="1A3F0DE3"/>
    <w:rsid w:val="1A400893"/>
    <w:rsid w:val="1A443A57"/>
    <w:rsid w:val="1A4C5C02"/>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E0B64"/>
    <w:rsid w:val="1AA629E5"/>
    <w:rsid w:val="1AA7641A"/>
    <w:rsid w:val="1AAA1631"/>
    <w:rsid w:val="1AAB66A6"/>
    <w:rsid w:val="1AB070EF"/>
    <w:rsid w:val="1AB11607"/>
    <w:rsid w:val="1AB11B1F"/>
    <w:rsid w:val="1AB61721"/>
    <w:rsid w:val="1AB75473"/>
    <w:rsid w:val="1AB932AA"/>
    <w:rsid w:val="1ABA126C"/>
    <w:rsid w:val="1AC132A8"/>
    <w:rsid w:val="1AC63C1B"/>
    <w:rsid w:val="1AC6755E"/>
    <w:rsid w:val="1AC74A81"/>
    <w:rsid w:val="1AC84A12"/>
    <w:rsid w:val="1AC85695"/>
    <w:rsid w:val="1ACA3E51"/>
    <w:rsid w:val="1ACB1CC6"/>
    <w:rsid w:val="1ACD3CD6"/>
    <w:rsid w:val="1AD41C5A"/>
    <w:rsid w:val="1AD535CC"/>
    <w:rsid w:val="1ADA7A0C"/>
    <w:rsid w:val="1ADB6A7B"/>
    <w:rsid w:val="1ADD5BA7"/>
    <w:rsid w:val="1ADD5EA2"/>
    <w:rsid w:val="1ADF70AF"/>
    <w:rsid w:val="1ADF7266"/>
    <w:rsid w:val="1AE5267E"/>
    <w:rsid w:val="1AE65CA6"/>
    <w:rsid w:val="1AEA3A51"/>
    <w:rsid w:val="1AEB3359"/>
    <w:rsid w:val="1AEB451C"/>
    <w:rsid w:val="1AEC1230"/>
    <w:rsid w:val="1AED6E91"/>
    <w:rsid w:val="1AED7E31"/>
    <w:rsid w:val="1AEE528B"/>
    <w:rsid w:val="1AF107EC"/>
    <w:rsid w:val="1AF70ADE"/>
    <w:rsid w:val="1AF86676"/>
    <w:rsid w:val="1AF9463B"/>
    <w:rsid w:val="1AFA26CE"/>
    <w:rsid w:val="1AFB752A"/>
    <w:rsid w:val="1AFD2782"/>
    <w:rsid w:val="1AFF012D"/>
    <w:rsid w:val="1B013C49"/>
    <w:rsid w:val="1B020921"/>
    <w:rsid w:val="1B037A18"/>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27AC8"/>
    <w:rsid w:val="1B3548A1"/>
    <w:rsid w:val="1B360413"/>
    <w:rsid w:val="1B360601"/>
    <w:rsid w:val="1B392904"/>
    <w:rsid w:val="1B3B20FA"/>
    <w:rsid w:val="1B3C2D73"/>
    <w:rsid w:val="1B3F32A2"/>
    <w:rsid w:val="1B443259"/>
    <w:rsid w:val="1B443365"/>
    <w:rsid w:val="1B45401A"/>
    <w:rsid w:val="1B4650A5"/>
    <w:rsid w:val="1B492E2C"/>
    <w:rsid w:val="1B4C01B4"/>
    <w:rsid w:val="1B4E4433"/>
    <w:rsid w:val="1B574BEB"/>
    <w:rsid w:val="1B5A43F9"/>
    <w:rsid w:val="1B5C295C"/>
    <w:rsid w:val="1B5E4193"/>
    <w:rsid w:val="1B6121EC"/>
    <w:rsid w:val="1B63544D"/>
    <w:rsid w:val="1B637764"/>
    <w:rsid w:val="1B660A00"/>
    <w:rsid w:val="1B661496"/>
    <w:rsid w:val="1B694C55"/>
    <w:rsid w:val="1B695370"/>
    <w:rsid w:val="1B6B3DE8"/>
    <w:rsid w:val="1B7178B0"/>
    <w:rsid w:val="1B73329B"/>
    <w:rsid w:val="1B745B29"/>
    <w:rsid w:val="1B781A26"/>
    <w:rsid w:val="1B7975E3"/>
    <w:rsid w:val="1B7B4516"/>
    <w:rsid w:val="1B7E34B1"/>
    <w:rsid w:val="1B84385B"/>
    <w:rsid w:val="1B883421"/>
    <w:rsid w:val="1B896C87"/>
    <w:rsid w:val="1B8A641C"/>
    <w:rsid w:val="1B8C0DEC"/>
    <w:rsid w:val="1B957490"/>
    <w:rsid w:val="1B96385E"/>
    <w:rsid w:val="1B997407"/>
    <w:rsid w:val="1B9A50B4"/>
    <w:rsid w:val="1B9B1E83"/>
    <w:rsid w:val="1B9D5E8A"/>
    <w:rsid w:val="1BA54D43"/>
    <w:rsid w:val="1BA8258E"/>
    <w:rsid w:val="1BAB2C02"/>
    <w:rsid w:val="1BAC0A69"/>
    <w:rsid w:val="1BAC45F6"/>
    <w:rsid w:val="1BB077E1"/>
    <w:rsid w:val="1BB5108C"/>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1668"/>
    <w:rsid w:val="1BDC45B3"/>
    <w:rsid w:val="1BDE45D3"/>
    <w:rsid w:val="1BE17044"/>
    <w:rsid w:val="1BE24195"/>
    <w:rsid w:val="1BE4668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33633D"/>
    <w:rsid w:val="1C337BDA"/>
    <w:rsid w:val="1C363BF9"/>
    <w:rsid w:val="1C364A9A"/>
    <w:rsid w:val="1C371826"/>
    <w:rsid w:val="1C393030"/>
    <w:rsid w:val="1C3976C9"/>
    <w:rsid w:val="1C3E0191"/>
    <w:rsid w:val="1C432B06"/>
    <w:rsid w:val="1C477584"/>
    <w:rsid w:val="1C4E5EC9"/>
    <w:rsid w:val="1C500448"/>
    <w:rsid w:val="1C504633"/>
    <w:rsid w:val="1C5067A5"/>
    <w:rsid w:val="1C525DD9"/>
    <w:rsid w:val="1C552DFF"/>
    <w:rsid w:val="1C5536BD"/>
    <w:rsid w:val="1C59211E"/>
    <w:rsid w:val="1C594CBE"/>
    <w:rsid w:val="1C5C1D2E"/>
    <w:rsid w:val="1C5D6350"/>
    <w:rsid w:val="1C6047E2"/>
    <w:rsid w:val="1C6E5FE4"/>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94780"/>
    <w:rsid w:val="1C9B2B1D"/>
    <w:rsid w:val="1C9B71F9"/>
    <w:rsid w:val="1C9D6A4C"/>
    <w:rsid w:val="1C9E620E"/>
    <w:rsid w:val="1C9F1983"/>
    <w:rsid w:val="1CA00EB3"/>
    <w:rsid w:val="1CA27A87"/>
    <w:rsid w:val="1CA45BB8"/>
    <w:rsid w:val="1CA624DE"/>
    <w:rsid w:val="1CA7690C"/>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D50C21"/>
    <w:rsid w:val="1CD77F7A"/>
    <w:rsid w:val="1CDF2A6D"/>
    <w:rsid w:val="1CE06A42"/>
    <w:rsid w:val="1CE418E3"/>
    <w:rsid w:val="1CE43768"/>
    <w:rsid w:val="1CED50D5"/>
    <w:rsid w:val="1CF00581"/>
    <w:rsid w:val="1CF02F49"/>
    <w:rsid w:val="1CF322E0"/>
    <w:rsid w:val="1CF45641"/>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362B4C"/>
    <w:rsid w:val="1D37298A"/>
    <w:rsid w:val="1D373AF2"/>
    <w:rsid w:val="1D380FF9"/>
    <w:rsid w:val="1D3901B4"/>
    <w:rsid w:val="1D3C565D"/>
    <w:rsid w:val="1D3C5867"/>
    <w:rsid w:val="1D3F18B0"/>
    <w:rsid w:val="1D3F573B"/>
    <w:rsid w:val="1D4043D7"/>
    <w:rsid w:val="1D426D1A"/>
    <w:rsid w:val="1D467A44"/>
    <w:rsid w:val="1D473E5F"/>
    <w:rsid w:val="1D481812"/>
    <w:rsid w:val="1D4C66C3"/>
    <w:rsid w:val="1D4D6572"/>
    <w:rsid w:val="1D4F3806"/>
    <w:rsid w:val="1D527734"/>
    <w:rsid w:val="1D57266A"/>
    <w:rsid w:val="1D574729"/>
    <w:rsid w:val="1D5831E4"/>
    <w:rsid w:val="1D5D0F06"/>
    <w:rsid w:val="1D606551"/>
    <w:rsid w:val="1D61611F"/>
    <w:rsid w:val="1D64556B"/>
    <w:rsid w:val="1D6505D8"/>
    <w:rsid w:val="1D663647"/>
    <w:rsid w:val="1D6B70BD"/>
    <w:rsid w:val="1D71367F"/>
    <w:rsid w:val="1D720009"/>
    <w:rsid w:val="1D72312A"/>
    <w:rsid w:val="1D787028"/>
    <w:rsid w:val="1D7C08D5"/>
    <w:rsid w:val="1D806873"/>
    <w:rsid w:val="1D8173E6"/>
    <w:rsid w:val="1D850D24"/>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359FD"/>
    <w:rsid w:val="1DBC3202"/>
    <w:rsid w:val="1DBE0159"/>
    <w:rsid w:val="1DBE389C"/>
    <w:rsid w:val="1DBF15E9"/>
    <w:rsid w:val="1DC02860"/>
    <w:rsid w:val="1DC128C3"/>
    <w:rsid w:val="1DC566AB"/>
    <w:rsid w:val="1DC60B83"/>
    <w:rsid w:val="1DC7635D"/>
    <w:rsid w:val="1DC864E2"/>
    <w:rsid w:val="1DC9488D"/>
    <w:rsid w:val="1DCA36C3"/>
    <w:rsid w:val="1DCB0AD7"/>
    <w:rsid w:val="1DCB59E5"/>
    <w:rsid w:val="1DCC1E45"/>
    <w:rsid w:val="1DCD40AC"/>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32B1D"/>
    <w:rsid w:val="1E035A31"/>
    <w:rsid w:val="1E036A31"/>
    <w:rsid w:val="1E0521CC"/>
    <w:rsid w:val="1E053714"/>
    <w:rsid w:val="1E055A90"/>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430A7"/>
    <w:rsid w:val="1E86752F"/>
    <w:rsid w:val="1E885C1B"/>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355B3"/>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A7FDE"/>
    <w:rsid w:val="1EF06A52"/>
    <w:rsid w:val="1EF101B7"/>
    <w:rsid w:val="1EF11208"/>
    <w:rsid w:val="1EF1148E"/>
    <w:rsid w:val="1EF25DD7"/>
    <w:rsid w:val="1EF262A3"/>
    <w:rsid w:val="1EF83B99"/>
    <w:rsid w:val="1EF974BE"/>
    <w:rsid w:val="1EFB417F"/>
    <w:rsid w:val="1EFF3739"/>
    <w:rsid w:val="1F05388D"/>
    <w:rsid w:val="1F0873C1"/>
    <w:rsid w:val="1F0A3BD9"/>
    <w:rsid w:val="1F0D0574"/>
    <w:rsid w:val="1F107FE5"/>
    <w:rsid w:val="1F112491"/>
    <w:rsid w:val="1F1619C0"/>
    <w:rsid w:val="1F187B86"/>
    <w:rsid w:val="1F252080"/>
    <w:rsid w:val="1F253AF5"/>
    <w:rsid w:val="1F25778F"/>
    <w:rsid w:val="1F295C35"/>
    <w:rsid w:val="1F2C42AB"/>
    <w:rsid w:val="1F2C65D8"/>
    <w:rsid w:val="1F2E7A74"/>
    <w:rsid w:val="1F313C25"/>
    <w:rsid w:val="1F37188E"/>
    <w:rsid w:val="1F3825EC"/>
    <w:rsid w:val="1F3956A4"/>
    <w:rsid w:val="1F3C0A66"/>
    <w:rsid w:val="1F400E47"/>
    <w:rsid w:val="1F435FC4"/>
    <w:rsid w:val="1F4E0A0A"/>
    <w:rsid w:val="1F502DA6"/>
    <w:rsid w:val="1F51230F"/>
    <w:rsid w:val="1F521C61"/>
    <w:rsid w:val="1F522233"/>
    <w:rsid w:val="1F582975"/>
    <w:rsid w:val="1F615366"/>
    <w:rsid w:val="1F616AFF"/>
    <w:rsid w:val="1F633652"/>
    <w:rsid w:val="1F637D9E"/>
    <w:rsid w:val="1F661A67"/>
    <w:rsid w:val="1F6929CD"/>
    <w:rsid w:val="1F6D4D52"/>
    <w:rsid w:val="1F720486"/>
    <w:rsid w:val="1F7234C9"/>
    <w:rsid w:val="1F7517A1"/>
    <w:rsid w:val="1F763CCA"/>
    <w:rsid w:val="1F7B1A35"/>
    <w:rsid w:val="1F7D39C4"/>
    <w:rsid w:val="1F81038E"/>
    <w:rsid w:val="1F820EC2"/>
    <w:rsid w:val="1F832A21"/>
    <w:rsid w:val="1F856893"/>
    <w:rsid w:val="1F864C4D"/>
    <w:rsid w:val="1F877118"/>
    <w:rsid w:val="1F89768C"/>
    <w:rsid w:val="1F8A7D2B"/>
    <w:rsid w:val="1F8C79E2"/>
    <w:rsid w:val="1F907DD0"/>
    <w:rsid w:val="1F93748B"/>
    <w:rsid w:val="1F942467"/>
    <w:rsid w:val="1F974ED6"/>
    <w:rsid w:val="1F995AD9"/>
    <w:rsid w:val="1F99684D"/>
    <w:rsid w:val="1F996E3C"/>
    <w:rsid w:val="1F9B4BD0"/>
    <w:rsid w:val="1F9C39C9"/>
    <w:rsid w:val="1F9E3F2F"/>
    <w:rsid w:val="1F9E4E4C"/>
    <w:rsid w:val="1FA15F49"/>
    <w:rsid w:val="1FA32496"/>
    <w:rsid w:val="1FA64792"/>
    <w:rsid w:val="1FA95492"/>
    <w:rsid w:val="1FAB0ACE"/>
    <w:rsid w:val="1FAB712A"/>
    <w:rsid w:val="1FAD4CF2"/>
    <w:rsid w:val="1FAF6F65"/>
    <w:rsid w:val="1FB23D2E"/>
    <w:rsid w:val="1FB37671"/>
    <w:rsid w:val="1FB44C75"/>
    <w:rsid w:val="1FB53A48"/>
    <w:rsid w:val="1FBA70C7"/>
    <w:rsid w:val="1FBB56F3"/>
    <w:rsid w:val="1FBC4047"/>
    <w:rsid w:val="1FBE0310"/>
    <w:rsid w:val="1FC03EF2"/>
    <w:rsid w:val="1FC042C8"/>
    <w:rsid w:val="1FC74D1B"/>
    <w:rsid w:val="1FC8231F"/>
    <w:rsid w:val="1FC87651"/>
    <w:rsid w:val="1FCB6428"/>
    <w:rsid w:val="1FCC6239"/>
    <w:rsid w:val="1FD04333"/>
    <w:rsid w:val="1FD0551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1E19AB"/>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F2F87"/>
    <w:rsid w:val="20520D61"/>
    <w:rsid w:val="20562E80"/>
    <w:rsid w:val="20583B98"/>
    <w:rsid w:val="205854DC"/>
    <w:rsid w:val="205966D6"/>
    <w:rsid w:val="205C7309"/>
    <w:rsid w:val="20617A29"/>
    <w:rsid w:val="20635328"/>
    <w:rsid w:val="20672A4F"/>
    <w:rsid w:val="206D37CE"/>
    <w:rsid w:val="206D44C4"/>
    <w:rsid w:val="206D7D7B"/>
    <w:rsid w:val="2071729D"/>
    <w:rsid w:val="20720AD0"/>
    <w:rsid w:val="207C4B91"/>
    <w:rsid w:val="20806EFA"/>
    <w:rsid w:val="20825F5E"/>
    <w:rsid w:val="20831A49"/>
    <w:rsid w:val="208614D9"/>
    <w:rsid w:val="20880B16"/>
    <w:rsid w:val="2089366D"/>
    <w:rsid w:val="208A25A7"/>
    <w:rsid w:val="208A314C"/>
    <w:rsid w:val="208D29D7"/>
    <w:rsid w:val="208D5330"/>
    <w:rsid w:val="208D559A"/>
    <w:rsid w:val="208E20C9"/>
    <w:rsid w:val="20923DFF"/>
    <w:rsid w:val="20962D95"/>
    <w:rsid w:val="209A7F1C"/>
    <w:rsid w:val="209C517F"/>
    <w:rsid w:val="209F3948"/>
    <w:rsid w:val="20A51DE1"/>
    <w:rsid w:val="20A867B6"/>
    <w:rsid w:val="20A92308"/>
    <w:rsid w:val="20AA3481"/>
    <w:rsid w:val="20AB04F7"/>
    <w:rsid w:val="20AB7B08"/>
    <w:rsid w:val="20B06261"/>
    <w:rsid w:val="20B14C47"/>
    <w:rsid w:val="20B17276"/>
    <w:rsid w:val="20B20AF4"/>
    <w:rsid w:val="20B51C50"/>
    <w:rsid w:val="20B54822"/>
    <w:rsid w:val="20B634DB"/>
    <w:rsid w:val="20C10D50"/>
    <w:rsid w:val="20C116B2"/>
    <w:rsid w:val="20C2698E"/>
    <w:rsid w:val="20C637AC"/>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D01FE"/>
    <w:rsid w:val="214B24AF"/>
    <w:rsid w:val="215215F8"/>
    <w:rsid w:val="21554C66"/>
    <w:rsid w:val="215B30BF"/>
    <w:rsid w:val="215D452F"/>
    <w:rsid w:val="216D11FA"/>
    <w:rsid w:val="216D2D21"/>
    <w:rsid w:val="21792903"/>
    <w:rsid w:val="217E18D6"/>
    <w:rsid w:val="217E4C9B"/>
    <w:rsid w:val="217F1CB5"/>
    <w:rsid w:val="21830D81"/>
    <w:rsid w:val="21850E53"/>
    <w:rsid w:val="2188022A"/>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23340"/>
    <w:rsid w:val="21D32624"/>
    <w:rsid w:val="21D42CB2"/>
    <w:rsid w:val="21D651C6"/>
    <w:rsid w:val="21E15542"/>
    <w:rsid w:val="21E15EFD"/>
    <w:rsid w:val="21E276C9"/>
    <w:rsid w:val="21E44633"/>
    <w:rsid w:val="21E706C5"/>
    <w:rsid w:val="21EC3F5C"/>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0B0C1B"/>
    <w:rsid w:val="221106D4"/>
    <w:rsid w:val="22143E34"/>
    <w:rsid w:val="2219360C"/>
    <w:rsid w:val="221E2693"/>
    <w:rsid w:val="221E5D8B"/>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75434"/>
    <w:rsid w:val="224B4757"/>
    <w:rsid w:val="225032E2"/>
    <w:rsid w:val="22533626"/>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95E71"/>
    <w:rsid w:val="228C6AE9"/>
    <w:rsid w:val="228E436E"/>
    <w:rsid w:val="228F3C3E"/>
    <w:rsid w:val="22911F80"/>
    <w:rsid w:val="229617AA"/>
    <w:rsid w:val="229824C7"/>
    <w:rsid w:val="229D50FE"/>
    <w:rsid w:val="22B04059"/>
    <w:rsid w:val="22B331A3"/>
    <w:rsid w:val="22B44875"/>
    <w:rsid w:val="22B53180"/>
    <w:rsid w:val="22B63798"/>
    <w:rsid w:val="22BB24D6"/>
    <w:rsid w:val="22C01785"/>
    <w:rsid w:val="22C95F57"/>
    <w:rsid w:val="22CB60CA"/>
    <w:rsid w:val="22CC7C3E"/>
    <w:rsid w:val="22CE5741"/>
    <w:rsid w:val="22D0325A"/>
    <w:rsid w:val="22D22A24"/>
    <w:rsid w:val="22D344E5"/>
    <w:rsid w:val="22D4064E"/>
    <w:rsid w:val="22D66219"/>
    <w:rsid w:val="22DA4FC9"/>
    <w:rsid w:val="22DB4E1C"/>
    <w:rsid w:val="22E06FB2"/>
    <w:rsid w:val="22E42917"/>
    <w:rsid w:val="22E5395E"/>
    <w:rsid w:val="22E82F25"/>
    <w:rsid w:val="22EA13F3"/>
    <w:rsid w:val="22EA6342"/>
    <w:rsid w:val="22EB020D"/>
    <w:rsid w:val="22EE7E35"/>
    <w:rsid w:val="22F44EC0"/>
    <w:rsid w:val="22F46269"/>
    <w:rsid w:val="22F7287C"/>
    <w:rsid w:val="22F9232A"/>
    <w:rsid w:val="22FD53CB"/>
    <w:rsid w:val="2300102A"/>
    <w:rsid w:val="23046040"/>
    <w:rsid w:val="230519BD"/>
    <w:rsid w:val="23063AAD"/>
    <w:rsid w:val="230A09F4"/>
    <w:rsid w:val="230B11D3"/>
    <w:rsid w:val="230D2136"/>
    <w:rsid w:val="230E5988"/>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A64B4"/>
    <w:rsid w:val="234F4488"/>
    <w:rsid w:val="23515D91"/>
    <w:rsid w:val="23533E3C"/>
    <w:rsid w:val="23546D28"/>
    <w:rsid w:val="23555FBD"/>
    <w:rsid w:val="235614B8"/>
    <w:rsid w:val="2356164C"/>
    <w:rsid w:val="235F1484"/>
    <w:rsid w:val="2363529A"/>
    <w:rsid w:val="236C5362"/>
    <w:rsid w:val="236D72E0"/>
    <w:rsid w:val="236E4D82"/>
    <w:rsid w:val="23700127"/>
    <w:rsid w:val="23727B29"/>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54462"/>
    <w:rsid w:val="2399648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5326"/>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1FE0"/>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1F397B"/>
    <w:rsid w:val="2421526F"/>
    <w:rsid w:val="242568B6"/>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6169BE"/>
    <w:rsid w:val="24661B39"/>
    <w:rsid w:val="24671AE5"/>
    <w:rsid w:val="24683C49"/>
    <w:rsid w:val="246C4539"/>
    <w:rsid w:val="246E6FA2"/>
    <w:rsid w:val="24792050"/>
    <w:rsid w:val="247E032C"/>
    <w:rsid w:val="248155D0"/>
    <w:rsid w:val="248574D1"/>
    <w:rsid w:val="248737F7"/>
    <w:rsid w:val="24875C8F"/>
    <w:rsid w:val="248B6569"/>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3ABB"/>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A395D"/>
    <w:rsid w:val="24EA44B8"/>
    <w:rsid w:val="24EC2FF7"/>
    <w:rsid w:val="24ED6D03"/>
    <w:rsid w:val="24F62530"/>
    <w:rsid w:val="24FB662A"/>
    <w:rsid w:val="24FC1203"/>
    <w:rsid w:val="24FF044E"/>
    <w:rsid w:val="25031E46"/>
    <w:rsid w:val="25074323"/>
    <w:rsid w:val="25084A04"/>
    <w:rsid w:val="2508679D"/>
    <w:rsid w:val="250A1714"/>
    <w:rsid w:val="250B3306"/>
    <w:rsid w:val="250D2AD3"/>
    <w:rsid w:val="2510700F"/>
    <w:rsid w:val="25143F64"/>
    <w:rsid w:val="2516297C"/>
    <w:rsid w:val="25170823"/>
    <w:rsid w:val="25184027"/>
    <w:rsid w:val="251A21BB"/>
    <w:rsid w:val="251F1B1A"/>
    <w:rsid w:val="25201DAA"/>
    <w:rsid w:val="25210240"/>
    <w:rsid w:val="25247673"/>
    <w:rsid w:val="25265077"/>
    <w:rsid w:val="2527589E"/>
    <w:rsid w:val="252B26B5"/>
    <w:rsid w:val="252F5306"/>
    <w:rsid w:val="25322571"/>
    <w:rsid w:val="2533255A"/>
    <w:rsid w:val="2537120E"/>
    <w:rsid w:val="25373595"/>
    <w:rsid w:val="253950FB"/>
    <w:rsid w:val="253B07AD"/>
    <w:rsid w:val="253C293A"/>
    <w:rsid w:val="253E5502"/>
    <w:rsid w:val="253E6EC1"/>
    <w:rsid w:val="2540027E"/>
    <w:rsid w:val="25423E12"/>
    <w:rsid w:val="25451AC2"/>
    <w:rsid w:val="254A4467"/>
    <w:rsid w:val="254A6653"/>
    <w:rsid w:val="25555C08"/>
    <w:rsid w:val="25563875"/>
    <w:rsid w:val="25567332"/>
    <w:rsid w:val="255711F4"/>
    <w:rsid w:val="25585DE5"/>
    <w:rsid w:val="255B001A"/>
    <w:rsid w:val="25610B65"/>
    <w:rsid w:val="256263BA"/>
    <w:rsid w:val="256271A7"/>
    <w:rsid w:val="25645AC1"/>
    <w:rsid w:val="25687BEB"/>
    <w:rsid w:val="2574370E"/>
    <w:rsid w:val="257860F1"/>
    <w:rsid w:val="257A5F33"/>
    <w:rsid w:val="257D04A6"/>
    <w:rsid w:val="2580208C"/>
    <w:rsid w:val="25804EFC"/>
    <w:rsid w:val="25814B16"/>
    <w:rsid w:val="25826B54"/>
    <w:rsid w:val="25875351"/>
    <w:rsid w:val="25892477"/>
    <w:rsid w:val="258A0756"/>
    <w:rsid w:val="258A778D"/>
    <w:rsid w:val="258E0B5B"/>
    <w:rsid w:val="258F4ACF"/>
    <w:rsid w:val="25901A9F"/>
    <w:rsid w:val="25927945"/>
    <w:rsid w:val="25937862"/>
    <w:rsid w:val="25953DB7"/>
    <w:rsid w:val="25957B89"/>
    <w:rsid w:val="2597063F"/>
    <w:rsid w:val="259C3F56"/>
    <w:rsid w:val="25A13B8D"/>
    <w:rsid w:val="25A24814"/>
    <w:rsid w:val="25A47ACB"/>
    <w:rsid w:val="25A7174B"/>
    <w:rsid w:val="25A76CF6"/>
    <w:rsid w:val="25A914D8"/>
    <w:rsid w:val="25A97B69"/>
    <w:rsid w:val="25AC30AB"/>
    <w:rsid w:val="25AC38DA"/>
    <w:rsid w:val="25AC664D"/>
    <w:rsid w:val="25AF0139"/>
    <w:rsid w:val="25B0480A"/>
    <w:rsid w:val="25B066B7"/>
    <w:rsid w:val="25B128CF"/>
    <w:rsid w:val="25B470C3"/>
    <w:rsid w:val="25B75700"/>
    <w:rsid w:val="25B95AC8"/>
    <w:rsid w:val="25BC1F0E"/>
    <w:rsid w:val="25BD46A9"/>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A243F"/>
    <w:rsid w:val="25ED6B7E"/>
    <w:rsid w:val="25ED6E30"/>
    <w:rsid w:val="25F05097"/>
    <w:rsid w:val="25F0536C"/>
    <w:rsid w:val="25F15A03"/>
    <w:rsid w:val="25F54ED1"/>
    <w:rsid w:val="25F87333"/>
    <w:rsid w:val="25F968A2"/>
    <w:rsid w:val="25FA2627"/>
    <w:rsid w:val="25FD08B5"/>
    <w:rsid w:val="2602375E"/>
    <w:rsid w:val="26104337"/>
    <w:rsid w:val="26127226"/>
    <w:rsid w:val="261F1CC0"/>
    <w:rsid w:val="26256037"/>
    <w:rsid w:val="26264C62"/>
    <w:rsid w:val="262A03D2"/>
    <w:rsid w:val="262A1BE5"/>
    <w:rsid w:val="262B1C1C"/>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E5052"/>
    <w:rsid w:val="26631FA4"/>
    <w:rsid w:val="26646565"/>
    <w:rsid w:val="266859C9"/>
    <w:rsid w:val="26694B5E"/>
    <w:rsid w:val="266A0123"/>
    <w:rsid w:val="266B32BF"/>
    <w:rsid w:val="266C3353"/>
    <w:rsid w:val="266D5FFB"/>
    <w:rsid w:val="266E1B73"/>
    <w:rsid w:val="26710895"/>
    <w:rsid w:val="267333A7"/>
    <w:rsid w:val="2675654F"/>
    <w:rsid w:val="267A0BC2"/>
    <w:rsid w:val="267A155C"/>
    <w:rsid w:val="267D5984"/>
    <w:rsid w:val="26855B3F"/>
    <w:rsid w:val="26896A01"/>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E1D3F"/>
    <w:rsid w:val="26AE21DD"/>
    <w:rsid w:val="26AE512A"/>
    <w:rsid w:val="26AF121F"/>
    <w:rsid w:val="26B00C0F"/>
    <w:rsid w:val="26B05831"/>
    <w:rsid w:val="26B12E89"/>
    <w:rsid w:val="26B1777C"/>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D27A6"/>
    <w:rsid w:val="275E75AA"/>
    <w:rsid w:val="275F6100"/>
    <w:rsid w:val="2764174E"/>
    <w:rsid w:val="276423DC"/>
    <w:rsid w:val="276E7BD4"/>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2C72"/>
    <w:rsid w:val="27894775"/>
    <w:rsid w:val="27895A79"/>
    <w:rsid w:val="278E3AED"/>
    <w:rsid w:val="278F155F"/>
    <w:rsid w:val="278F15A8"/>
    <w:rsid w:val="27934597"/>
    <w:rsid w:val="27961ADC"/>
    <w:rsid w:val="279A26BE"/>
    <w:rsid w:val="279B5F79"/>
    <w:rsid w:val="279D080F"/>
    <w:rsid w:val="279D1D18"/>
    <w:rsid w:val="27A569AE"/>
    <w:rsid w:val="27A77A58"/>
    <w:rsid w:val="27A83504"/>
    <w:rsid w:val="27B2250A"/>
    <w:rsid w:val="27B645C5"/>
    <w:rsid w:val="27B82A5A"/>
    <w:rsid w:val="27B96BC4"/>
    <w:rsid w:val="27BB4442"/>
    <w:rsid w:val="27BB4595"/>
    <w:rsid w:val="27BD4CCC"/>
    <w:rsid w:val="27BE3BE1"/>
    <w:rsid w:val="27C06146"/>
    <w:rsid w:val="27C11E8D"/>
    <w:rsid w:val="27C220CE"/>
    <w:rsid w:val="27C57B37"/>
    <w:rsid w:val="27C87232"/>
    <w:rsid w:val="27C97A43"/>
    <w:rsid w:val="27CA2611"/>
    <w:rsid w:val="27CB38A4"/>
    <w:rsid w:val="27CB7BB2"/>
    <w:rsid w:val="27CF1E0D"/>
    <w:rsid w:val="27D31FB1"/>
    <w:rsid w:val="27D91920"/>
    <w:rsid w:val="27DA4A28"/>
    <w:rsid w:val="27DC0BF7"/>
    <w:rsid w:val="27DC175A"/>
    <w:rsid w:val="27DC4D5C"/>
    <w:rsid w:val="27DC76FB"/>
    <w:rsid w:val="27DD50EA"/>
    <w:rsid w:val="27E23371"/>
    <w:rsid w:val="27E33F03"/>
    <w:rsid w:val="27E66FD8"/>
    <w:rsid w:val="27E77917"/>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7091"/>
    <w:rsid w:val="28572B93"/>
    <w:rsid w:val="28594E9F"/>
    <w:rsid w:val="285A71B8"/>
    <w:rsid w:val="285D63AB"/>
    <w:rsid w:val="28635977"/>
    <w:rsid w:val="286628BD"/>
    <w:rsid w:val="28666964"/>
    <w:rsid w:val="28670F99"/>
    <w:rsid w:val="2867761F"/>
    <w:rsid w:val="28684CED"/>
    <w:rsid w:val="28690E82"/>
    <w:rsid w:val="286975B0"/>
    <w:rsid w:val="28703BF8"/>
    <w:rsid w:val="28735882"/>
    <w:rsid w:val="28755D3A"/>
    <w:rsid w:val="287629C5"/>
    <w:rsid w:val="287D2893"/>
    <w:rsid w:val="2885175B"/>
    <w:rsid w:val="28877C5E"/>
    <w:rsid w:val="2888118C"/>
    <w:rsid w:val="28882616"/>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469D"/>
    <w:rsid w:val="28B25AB1"/>
    <w:rsid w:val="28B52ADF"/>
    <w:rsid w:val="28B94A2F"/>
    <w:rsid w:val="28B96A0D"/>
    <w:rsid w:val="28BC4A80"/>
    <w:rsid w:val="28BC7B20"/>
    <w:rsid w:val="28BD60FF"/>
    <w:rsid w:val="28C04C12"/>
    <w:rsid w:val="28C13E55"/>
    <w:rsid w:val="28C53872"/>
    <w:rsid w:val="28C546C2"/>
    <w:rsid w:val="28C9262F"/>
    <w:rsid w:val="28D75557"/>
    <w:rsid w:val="28D9251F"/>
    <w:rsid w:val="28DE51B7"/>
    <w:rsid w:val="28DE5DE5"/>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D6789"/>
    <w:rsid w:val="290E35DA"/>
    <w:rsid w:val="29105286"/>
    <w:rsid w:val="29123468"/>
    <w:rsid w:val="2913310C"/>
    <w:rsid w:val="29142C92"/>
    <w:rsid w:val="291A6D7B"/>
    <w:rsid w:val="291B0B1D"/>
    <w:rsid w:val="291C2967"/>
    <w:rsid w:val="29201D7A"/>
    <w:rsid w:val="29251741"/>
    <w:rsid w:val="29261DE7"/>
    <w:rsid w:val="292638EA"/>
    <w:rsid w:val="29294562"/>
    <w:rsid w:val="292945E3"/>
    <w:rsid w:val="292B11E5"/>
    <w:rsid w:val="292B1B70"/>
    <w:rsid w:val="292E438F"/>
    <w:rsid w:val="292F78E5"/>
    <w:rsid w:val="29362206"/>
    <w:rsid w:val="293737D0"/>
    <w:rsid w:val="293A16A0"/>
    <w:rsid w:val="293A38EF"/>
    <w:rsid w:val="293C1E1B"/>
    <w:rsid w:val="293C6BB9"/>
    <w:rsid w:val="293C6C49"/>
    <w:rsid w:val="294145CA"/>
    <w:rsid w:val="29432D9F"/>
    <w:rsid w:val="29470119"/>
    <w:rsid w:val="294C083E"/>
    <w:rsid w:val="2957339A"/>
    <w:rsid w:val="29592AFB"/>
    <w:rsid w:val="295D5807"/>
    <w:rsid w:val="296252DB"/>
    <w:rsid w:val="296A49A1"/>
    <w:rsid w:val="296C6194"/>
    <w:rsid w:val="296D43A9"/>
    <w:rsid w:val="29702344"/>
    <w:rsid w:val="29706B61"/>
    <w:rsid w:val="29727CE2"/>
    <w:rsid w:val="297C2F07"/>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A0A9F"/>
    <w:rsid w:val="29AC6E52"/>
    <w:rsid w:val="29AC73E6"/>
    <w:rsid w:val="29AD4F16"/>
    <w:rsid w:val="29AD6607"/>
    <w:rsid w:val="29B30BE3"/>
    <w:rsid w:val="29B560A1"/>
    <w:rsid w:val="29B563C6"/>
    <w:rsid w:val="29B6445D"/>
    <w:rsid w:val="29B66E05"/>
    <w:rsid w:val="29B671CF"/>
    <w:rsid w:val="29B90B1E"/>
    <w:rsid w:val="29B96E1C"/>
    <w:rsid w:val="29BB6D3C"/>
    <w:rsid w:val="29BE758A"/>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91B5A"/>
    <w:rsid w:val="29F03DFB"/>
    <w:rsid w:val="29F160F5"/>
    <w:rsid w:val="29F35E9A"/>
    <w:rsid w:val="29F97C3C"/>
    <w:rsid w:val="29FA35CB"/>
    <w:rsid w:val="29FC1F6E"/>
    <w:rsid w:val="29FD46B6"/>
    <w:rsid w:val="29FE179E"/>
    <w:rsid w:val="2A00045C"/>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4A3BE8"/>
    <w:rsid w:val="2A501C6F"/>
    <w:rsid w:val="2A50644E"/>
    <w:rsid w:val="2A571542"/>
    <w:rsid w:val="2A585770"/>
    <w:rsid w:val="2A592D0F"/>
    <w:rsid w:val="2A5A1E29"/>
    <w:rsid w:val="2A5C085C"/>
    <w:rsid w:val="2A605793"/>
    <w:rsid w:val="2A611C9F"/>
    <w:rsid w:val="2A653A65"/>
    <w:rsid w:val="2A6553A7"/>
    <w:rsid w:val="2A6626CD"/>
    <w:rsid w:val="2A670DFB"/>
    <w:rsid w:val="2A681E23"/>
    <w:rsid w:val="2A692262"/>
    <w:rsid w:val="2A6A3C59"/>
    <w:rsid w:val="2A6E6D2C"/>
    <w:rsid w:val="2A7129D7"/>
    <w:rsid w:val="2A731100"/>
    <w:rsid w:val="2A733C64"/>
    <w:rsid w:val="2A742E3F"/>
    <w:rsid w:val="2A7479D1"/>
    <w:rsid w:val="2A777B77"/>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94882"/>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61BD5"/>
    <w:rsid w:val="2B175D96"/>
    <w:rsid w:val="2B197859"/>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44A7"/>
    <w:rsid w:val="2B427810"/>
    <w:rsid w:val="2B4A0810"/>
    <w:rsid w:val="2B4A139E"/>
    <w:rsid w:val="2B4A2811"/>
    <w:rsid w:val="2B4D1B1E"/>
    <w:rsid w:val="2B4E0809"/>
    <w:rsid w:val="2B4F04D1"/>
    <w:rsid w:val="2B4F411D"/>
    <w:rsid w:val="2B5059C7"/>
    <w:rsid w:val="2B594459"/>
    <w:rsid w:val="2B596D8A"/>
    <w:rsid w:val="2B5D6DC0"/>
    <w:rsid w:val="2B5F14EC"/>
    <w:rsid w:val="2B60107C"/>
    <w:rsid w:val="2B604C78"/>
    <w:rsid w:val="2B64193C"/>
    <w:rsid w:val="2B651B98"/>
    <w:rsid w:val="2B654D70"/>
    <w:rsid w:val="2B666896"/>
    <w:rsid w:val="2B6D05B8"/>
    <w:rsid w:val="2B6D7C6D"/>
    <w:rsid w:val="2B6F60A6"/>
    <w:rsid w:val="2B7007CF"/>
    <w:rsid w:val="2B700AEE"/>
    <w:rsid w:val="2B7036F2"/>
    <w:rsid w:val="2B721285"/>
    <w:rsid w:val="2B722796"/>
    <w:rsid w:val="2B74648B"/>
    <w:rsid w:val="2B7534A1"/>
    <w:rsid w:val="2B757DBF"/>
    <w:rsid w:val="2B765085"/>
    <w:rsid w:val="2B772CA6"/>
    <w:rsid w:val="2B7F6DB1"/>
    <w:rsid w:val="2B8442FF"/>
    <w:rsid w:val="2B851AEB"/>
    <w:rsid w:val="2B854FD6"/>
    <w:rsid w:val="2B8B0C0F"/>
    <w:rsid w:val="2B8D6BD0"/>
    <w:rsid w:val="2B903338"/>
    <w:rsid w:val="2B962F11"/>
    <w:rsid w:val="2B966615"/>
    <w:rsid w:val="2B981F92"/>
    <w:rsid w:val="2B98649F"/>
    <w:rsid w:val="2B9B3043"/>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B66AE"/>
    <w:rsid w:val="2BED4E56"/>
    <w:rsid w:val="2BF1374D"/>
    <w:rsid w:val="2BF2054C"/>
    <w:rsid w:val="2BF26BB7"/>
    <w:rsid w:val="2BF66CD5"/>
    <w:rsid w:val="2BF74F41"/>
    <w:rsid w:val="2BFA02AD"/>
    <w:rsid w:val="2BFE13E2"/>
    <w:rsid w:val="2C046404"/>
    <w:rsid w:val="2C051922"/>
    <w:rsid w:val="2C0C0512"/>
    <w:rsid w:val="2C0E2D47"/>
    <w:rsid w:val="2C133103"/>
    <w:rsid w:val="2C1340C8"/>
    <w:rsid w:val="2C1349B3"/>
    <w:rsid w:val="2C1617C3"/>
    <w:rsid w:val="2C163054"/>
    <w:rsid w:val="2C1B0796"/>
    <w:rsid w:val="2C1E4E33"/>
    <w:rsid w:val="2C1F0BA7"/>
    <w:rsid w:val="2C1F150E"/>
    <w:rsid w:val="2C1F4025"/>
    <w:rsid w:val="2C1F54A6"/>
    <w:rsid w:val="2C207E61"/>
    <w:rsid w:val="2C237202"/>
    <w:rsid w:val="2C2859DF"/>
    <w:rsid w:val="2C2873C3"/>
    <w:rsid w:val="2C2968CC"/>
    <w:rsid w:val="2C2B4DDB"/>
    <w:rsid w:val="2C2E3CE5"/>
    <w:rsid w:val="2C2E5710"/>
    <w:rsid w:val="2C304F98"/>
    <w:rsid w:val="2C325FEF"/>
    <w:rsid w:val="2C3460EE"/>
    <w:rsid w:val="2C3463A1"/>
    <w:rsid w:val="2C433E27"/>
    <w:rsid w:val="2C4474B7"/>
    <w:rsid w:val="2C4551C0"/>
    <w:rsid w:val="2C486F21"/>
    <w:rsid w:val="2C4B0ACC"/>
    <w:rsid w:val="2C4B57B7"/>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6605"/>
    <w:rsid w:val="2C937BDE"/>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E2B6E"/>
    <w:rsid w:val="2CC134EB"/>
    <w:rsid w:val="2CC27D31"/>
    <w:rsid w:val="2CC36D20"/>
    <w:rsid w:val="2CC56580"/>
    <w:rsid w:val="2CC74600"/>
    <w:rsid w:val="2CC874E0"/>
    <w:rsid w:val="2CC924D3"/>
    <w:rsid w:val="2CCB7A09"/>
    <w:rsid w:val="2CCE62BF"/>
    <w:rsid w:val="2CD2357F"/>
    <w:rsid w:val="2CD5033F"/>
    <w:rsid w:val="2CE7004C"/>
    <w:rsid w:val="2CE71B3B"/>
    <w:rsid w:val="2CE81FA4"/>
    <w:rsid w:val="2CE954A4"/>
    <w:rsid w:val="2CEB29ED"/>
    <w:rsid w:val="2CEF481A"/>
    <w:rsid w:val="2CF12EB6"/>
    <w:rsid w:val="2CF35DB4"/>
    <w:rsid w:val="2CF634B3"/>
    <w:rsid w:val="2CF955FD"/>
    <w:rsid w:val="2CF97D76"/>
    <w:rsid w:val="2CFA555B"/>
    <w:rsid w:val="2CFA74B7"/>
    <w:rsid w:val="2CFD7818"/>
    <w:rsid w:val="2D02584A"/>
    <w:rsid w:val="2D030820"/>
    <w:rsid w:val="2D034B8C"/>
    <w:rsid w:val="2D066063"/>
    <w:rsid w:val="2D0D16FC"/>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C1597"/>
    <w:rsid w:val="2D2D1D25"/>
    <w:rsid w:val="2D2E5E6F"/>
    <w:rsid w:val="2D317AFC"/>
    <w:rsid w:val="2D331087"/>
    <w:rsid w:val="2D363B88"/>
    <w:rsid w:val="2D3B154B"/>
    <w:rsid w:val="2D3B6728"/>
    <w:rsid w:val="2D3C5EC2"/>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174D2"/>
    <w:rsid w:val="2D631BB5"/>
    <w:rsid w:val="2D646934"/>
    <w:rsid w:val="2D6D338E"/>
    <w:rsid w:val="2D6F4210"/>
    <w:rsid w:val="2D7412B1"/>
    <w:rsid w:val="2D77432A"/>
    <w:rsid w:val="2D7A48E6"/>
    <w:rsid w:val="2D7B0C21"/>
    <w:rsid w:val="2D7C5B0C"/>
    <w:rsid w:val="2D7D4850"/>
    <w:rsid w:val="2D7D712E"/>
    <w:rsid w:val="2D840CB5"/>
    <w:rsid w:val="2D8651E6"/>
    <w:rsid w:val="2D87256F"/>
    <w:rsid w:val="2D8B5653"/>
    <w:rsid w:val="2D927B76"/>
    <w:rsid w:val="2D957303"/>
    <w:rsid w:val="2D963E65"/>
    <w:rsid w:val="2D977850"/>
    <w:rsid w:val="2D99201B"/>
    <w:rsid w:val="2D9B47BE"/>
    <w:rsid w:val="2D9C6B25"/>
    <w:rsid w:val="2D9D7843"/>
    <w:rsid w:val="2D9E4CF1"/>
    <w:rsid w:val="2DA2550A"/>
    <w:rsid w:val="2DA31C74"/>
    <w:rsid w:val="2DA3745C"/>
    <w:rsid w:val="2DA7130E"/>
    <w:rsid w:val="2DAA1470"/>
    <w:rsid w:val="2DB71325"/>
    <w:rsid w:val="2DBD4788"/>
    <w:rsid w:val="2DC37296"/>
    <w:rsid w:val="2DC637D6"/>
    <w:rsid w:val="2DCF4381"/>
    <w:rsid w:val="2DCF72A6"/>
    <w:rsid w:val="2DD06FB6"/>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654E"/>
    <w:rsid w:val="2DF52EFF"/>
    <w:rsid w:val="2DF7098A"/>
    <w:rsid w:val="2DFB1185"/>
    <w:rsid w:val="2E061930"/>
    <w:rsid w:val="2E0A1BEB"/>
    <w:rsid w:val="2E0B3883"/>
    <w:rsid w:val="2E0D3810"/>
    <w:rsid w:val="2E10550B"/>
    <w:rsid w:val="2E112BF4"/>
    <w:rsid w:val="2E122A84"/>
    <w:rsid w:val="2E123D9B"/>
    <w:rsid w:val="2E146ED8"/>
    <w:rsid w:val="2E183E3D"/>
    <w:rsid w:val="2E1933CD"/>
    <w:rsid w:val="2E1A0344"/>
    <w:rsid w:val="2E1A43E7"/>
    <w:rsid w:val="2E1B1361"/>
    <w:rsid w:val="2E1C51B6"/>
    <w:rsid w:val="2E1D47BB"/>
    <w:rsid w:val="2E1F50EE"/>
    <w:rsid w:val="2E2058CA"/>
    <w:rsid w:val="2E216A0A"/>
    <w:rsid w:val="2E2E4BAA"/>
    <w:rsid w:val="2E306E62"/>
    <w:rsid w:val="2E310B9F"/>
    <w:rsid w:val="2E3123BA"/>
    <w:rsid w:val="2E3219F4"/>
    <w:rsid w:val="2E344BCA"/>
    <w:rsid w:val="2E3955CB"/>
    <w:rsid w:val="2E3B1B80"/>
    <w:rsid w:val="2E3D63DF"/>
    <w:rsid w:val="2E3E55A9"/>
    <w:rsid w:val="2E4651B1"/>
    <w:rsid w:val="2E4A5055"/>
    <w:rsid w:val="2E4B7132"/>
    <w:rsid w:val="2E5159B7"/>
    <w:rsid w:val="2E553EAD"/>
    <w:rsid w:val="2E56463B"/>
    <w:rsid w:val="2E590462"/>
    <w:rsid w:val="2E622AAC"/>
    <w:rsid w:val="2E636454"/>
    <w:rsid w:val="2E650502"/>
    <w:rsid w:val="2E685203"/>
    <w:rsid w:val="2E6A1366"/>
    <w:rsid w:val="2E6D288A"/>
    <w:rsid w:val="2E6E52A6"/>
    <w:rsid w:val="2E712359"/>
    <w:rsid w:val="2E73722A"/>
    <w:rsid w:val="2E776885"/>
    <w:rsid w:val="2E7D1F91"/>
    <w:rsid w:val="2E8029D4"/>
    <w:rsid w:val="2E8F3F64"/>
    <w:rsid w:val="2E907B52"/>
    <w:rsid w:val="2E9214FD"/>
    <w:rsid w:val="2E9358BA"/>
    <w:rsid w:val="2E9418D6"/>
    <w:rsid w:val="2E96530E"/>
    <w:rsid w:val="2E9742FA"/>
    <w:rsid w:val="2E99111E"/>
    <w:rsid w:val="2E9B400B"/>
    <w:rsid w:val="2EA15D27"/>
    <w:rsid w:val="2EA32C41"/>
    <w:rsid w:val="2EA32FC6"/>
    <w:rsid w:val="2EA426BC"/>
    <w:rsid w:val="2EAC6F18"/>
    <w:rsid w:val="2EB07A82"/>
    <w:rsid w:val="2EB149E9"/>
    <w:rsid w:val="2EBB0018"/>
    <w:rsid w:val="2EBC135D"/>
    <w:rsid w:val="2EBD3FAD"/>
    <w:rsid w:val="2EBF5AC9"/>
    <w:rsid w:val="2EC25EF1"/>
    <w:rsid w:val="2EC45D8B"/>
    <w:rsid w:val="2EC84F61"/>
    <w:rsid w:val="2EC86A27"/>
    <w:rsid w:val="2ECB2949"/>
    <w:rsid w:val="2ECE63F8"/>
    <w:rsid w:val="2ECF178A"/>
    <w:rsid w:val="2ED1706B"/>
    <w:rsid w:val="2ED268B2"/>
    <w:rsid w:val="2EDC7A80"/>
    <w:rsid w:val="2EDE44AD"/>
    <w:rsid w:val="2EEE5306"/>
    <w:rsid w:val="2EEE73E5"/>
    <w:rsid w:val="2EF36A7E"/>
    <w:rsid w:val="2EFB67FE"/>
    <w:rsid w:val="2EFE30A2"/>
    <w:rsid w:val="2EFF74E0"/>
    <w:rsid w:val="2F05573A"/>
    <w:rsid w:val="2F0572DE"/>
    <w:rsid w:val="2F0A0BC6"/>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2E321D"/>
    <w:rsid w:val="2F300E2B"/>
    <w:rsid w:val="2F3318DD"/>
    <w:rsid w:val="2F335D9A"/>
    <w:rsid w:val="2F37094A"/>
    <w:rsid w:val="2F38000C"/>
    <w:rsid w:val="2F390E10"/>
    <w:rsid w:val="2F3918C6"/>
    <w:rsid w:val="2F396A5C"/>
    <w:rsid w:val="2F3B64FF"/>
    <w:rsid w:val="2F3F4023"/>
    <w:rsid w:val="2F440471"/>
    <w:rsid w:val="2F477462"/>
    <w:rsid w:val="2F481F38"/>
    <w:rsid w:val="2F4C19A8"/>
    <w:rsid w:val="2F4C40A5"/>
    <w:rsid w:val="2F4D3B5D"/>
    <w:rsid w:val="2F554637"/>
    <w:rsid w:val="2F563EC0"/>
    <w:rsid w:val="2F5821E1"/>
    <w:rsid w:val="2F5B42DA"/>
    <w:rsid w:val="2F5B6F87"/>
    <w:rsid w:val="2F5C2A3E"/>
    <w:rsid w:val="2F5F7181"/>
    <w:rsid w:val="2F680645"/>
    <w:rsid w:val="2F6A2182"/>
    <w:rsid w:val="2F6E62BC"/>
    <w:rsid w:val="2F6F4C46"/>
    <w:rsid w:val="2F7227B0"/>
    <w:rsid w:val="2F760994"/>
    <w:rsid w:val="2F764A55"/>
    <w:rsid w:val="2F76568B"/>
    <w:rsid w:val="2F7752CB"/>
    <w:rsid w:val="2F7B6DDB"/>
    <w:rsid w:val="2F7C22EE"/>
    <w:rsid w:val="2F7D7202"/>
    <w:rsid w:val="2F800382"/>
    <w:rsid w:val="2F8A5F9C"/>
    <w:rsid w:val="2F8A7B3E"/>
    <w:rsid w:val="2F8B64C3"/>
    <w:rsid w:val="2F8F3D9C"/>
    <w:rsid w:val="2F915940"/>
    <w:rsid w:val="2F921FFD"/>
    <w:rsid w:val="2F926395"/>
    <w:rsid w:val="2F9453AA"/>
    <w:rsid w:val="2F94568F"/>
    <w:rsid w:val="2F956C17"/>
    <w:rsid w:val="2F990F54"/>
    <w:rsid w:val="2F9960ED"/>
    <w:rsid w:val="2F9D74DB"/>
    <w:rsid w:val="2F9E6FC1"/>
    <w:rsid w:val="2FA1782B"/>
    <w:rsid w:val="2FA43DEB"/>
    <w:rsid w:val="2FA5434C"/>
    <w:rsid w:val="2FA82EF3"/>
    <w:rsid w:val="2FA921F3"/>
    <w:rsid w:val="2FA9347A"/>
    <w:rsid w:val="2FAD14B9"/>
    <w:rsid w:val="2FAE5C6C"/>
    <w:rsid w:val="2FAE723E"/>
    <w:rsid w:val="2FB1751B"/>
    <w:rsid w:val="2FB3377D"/>
    <w:rsid w:val="2FB40759"/>
    <w:rsid w:val="2FB67E57"/>
    <w:rsid w:val="2FB84046"/>
    <w:rsid w:val="2FB86EF3"/>
    <w:rsid w:val="2FB9003A"/>
    <w:rsid w:val="2FB903D3"/>
    <w:rsid w:val="2FBB7D91"/>
    <w:rsid w:val="2FBF0676"/>
    <w:rsid w:val="2FC05E53"/>
    <w:rsid w:val="2FC855F7"/>
    <w:rsid w:val="2FC8639B"/>
    <w:rsid w:val="2FCA0991"/>
    <w:rsid w:val="2FCE24EE"/>
    <w:rsid w:val="2FCF62AE"/>
    <w:rsid w:val="2FD03AD8"/>
    <w:rsid w:val="2FD41038"/>
    <w:rsid w:val="2FD51D12"/>
    <w:rsid w:val="2FD80463"/>
    <w:rsid w:val="2FDB44EA"/>
    <w:rsid w:val="2FDC59AA"/>
    <w:rsid w:val="2FDD4A9A"/>
    <w:rsid w:val="2FDD5AAF"/>
    <w:rsid w:val="2FDF5DA8"/>
    <w:rsid w:val="2FDF74CA"/>
    <w:rsid w:val="2FE423A0"/>
    <w:rsid w:val="2FEB0865"/>
    <w:rsid w:val="2FED6471"/>
    <w:rsid w:val="2FED71D4"/>
    <w:rsid w:val="2FF23AC7"/>
    <w:rsid w:val="2FF6501A"/>
    <w:rsid w:val="2FF97AB9"/>
    <w:rsid w:val="30003E1E"/>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96144"/>
    <w:rsid w:val="304B6A11"/>
    <w:rsid w:val="304F0B98"/>
    <w:rsid w:val="30526F75"/>
    <w:rsid w:val="305739E6"/>
    <w:rsid w:val="30583522"/>
    <w:rsid w:val="30595952"/>
    <w:rsid w:val="305C46DD"/>
    <w:rsid w:val="305D3C8B"/>
    <w:rsid w:val="305E7097"/>
    <w:rsid w:val="305F3212"/>
    <w:rsid w:val="306572C7"/>
    <w:rsid w:val="306B4C33"/>
    <w:rsid w:val="306D1DE2"/>
    <w:rsid w:val="30706915"/>
    <w:rsid w:val="30707044"/>
    <w:rsid w:val="30707A2B"/>
    <w:rsid w:val="307203F2"/>
    <w:rsid w:val="3076187E"/>
    <w:rsid w:val="307776FD"/>
    <w:rsid w:val="307B1FD7"/>
    <w:rsid w:val="307E7076"/>
    <w:rsid w:val="307F5651"/>
    <w:rsid w:val="307F57BB"/>
    <w:rsid w:val="307F6F55"/>
    <w:rsid w:val="30844B87"/>
    <w:rsid w:val="30862F8A"/>
    <w:rsid w:val="30865675"/>
    <w:rsid w:val="30871F9B"/>
    <w:rsid w:val="308A276F"/>
    <w:rsid w:val="308A5F58"/>
    <w:rsid w:val="308D22D3"/>
    <w:rsid w:val="308F03AC"/>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103D5"/>
    <w:rsid w:val="30D3442A"/>
    <w:rsid w:val="30D95BF8"/>
    <w:rsid w:val="30DA6514"/>
    <w:rsid w:val="30DD25CD"/>
    <w:rsid w:val="30E24928"/>
    <w:rsid w:val="30E332D5"/>
    <w:rsid w:val="30E755C3"/>
    <w:rsid w:val="30E77847"/>
    <w:rsid w:val="30E87FC4"/>
    <w:rsid w:val="30E96C5C"/>
    <w:rsid w:val="30EE137A"/>
    <w:rsid w:val="30F91F98"/>
    <w:rsid w:val="30FD42E7"/>
    <w:rsid w:val="30FF2FBB"/>
    <w:rsid w:val="3102650D"/>
    <w:rsid w:val="310304F7"/>
    <w:rsid w:val="31053B4B"/>
    <w:rsid w:val="3105543C"/>
    <w:rsid w:val="31066455"/>
    <w:rsid w:val="310D0CE0"/>
    <w:rsid w:val="310F388C"/>
    <w:rsid w:val="31111818"/>
    <w:rsid w:val="31112C0D"/>
    <w:rsid w:val="31113480"/>
    <w:rsid w:val="311A14E3"/>
    <w:rsid w:val="31231D3C"/>
    <w:rsid w:val="31241A1B"/>
    <w:rsid w:val="312564AE"/>
    <w:rsid w:val="31260443"/>
    <w:rsid w:val="3127437E"/>
    <w:rsid w:val="31291E9C"/>
    <w:rsid w:val="3129773D"/>
    <w:rsid w:val="312A405D"/>
    <w:rsid w:val="312B1DC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109E5"/>
    <w:rsid w:val="31542A30"/>
    <w:rsid w:val="31554883"/>
    <w:rsid w:val="31561AE8"/>
    <w:rsid w:val="3157106C"/>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47FC6"/>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F147F"/>
    <w:rsid w:val="31E149BE"/>
    <w:rsid w:val="31E8688A"/>
    <w:rsid w:val="31EB2827"/>
    <w:rsid w:val="31ED4D3A"/>
    <w:rsid w:val="31F02C1F"/>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4206"/>
    <w:rsid w:val="321A20AB"/>
    <w:rsid w:val="321A752F"/>
    <w:rsid w:val="321F6E19"/>
    <w:rsid w:val="32254C78"/>
    <w:rsid w:val="3226592A"/>
    <w:rsid w:val="3229136A"/>
    <w:rsid w:val="322B645B"/>
    <w:rsid w:val="32331013"/>
    <w:rsid w:val="323852AE"/>
    <w:rsid w:val="32390A31"/>
    <w:rsid w:val="32392AFA"/>
    <w:rsid w:val="323A7D00"/>
    <w:rsid w:val="323E5F1D"/>
    <w:rsid w:val="324139CC"/>
    <w:rsid w:val="32424A4B"/>
    <w:rsid w:val="324420EC"/>
    <w:rsid w:val="3245374F"/>
    <w:rsid w:val="324631E0"/>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1FB5"/>
    <w:rsid w:val="328319C7"/>
    <w:rsid w:val="328C06FB"/>
    <w:rsid w:val="3295156C"/>
    <w:rsid w:val="329B2A32"/>
    <w:rsid w:val="32A00C08"/>
    <w:rsid w:val="32A40659"/>
    <w:rsid w:val="32AD218B"/>
    <w:rsid w:val="32B074C1"/>
    <w:rsid w:val="32B11F63"/>
    <w:rsid w:val="32B44090"/>
    <w:rsid w:val="32B75685"/>
    <w:rsid w:val="32B95A73"/>
    <w:rsid w:val="32BA4D2D"/>
    <w:rsid w:val="32BA6E40"/>
    <w:rsid w:val="32BB4FD4"/>
    <w:rsid w:val="32BF42C8"/>
    <w:rsid w:val="32C12CFB"/>
    <w:rsid w:val="32C15F80"/>
    <w:rsid w:val="32CF07B4"/>
    <w:rsid w:val="32D22461"/>
    <w:rsid w:val="32D4118A"/>
    <w:rsid w:val="32D5790B"/>
    <w:rsid w:val="32D84B84"/>
    <w:rsid w:val="32E06B7C"/>
    <w:rsid w:val="32E85760"/>
    <w:rsid w:val="32E9164F"/>
    <w:rsid w:val="32EA52BF"/>
    <w:rsid w:val="32EB1764"/>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4BA7"/>
    <w:rsid w:val="3308763D"/>
    <w:rsid w:val="330B1B4B"/>
    <w:rsid w:val="33114DDB"/>
    <w:rsid w:val="33117375"/>
    <w:rsid w:val="331173F6"/>
    <w:rsid w:val="33162FAA"/>
    <w:rsid w:val="33163294"/>
    <w:rsid w:val="331A0B19"/>
    <w:rsid w:val="331A3857"/>
    <w:rsid w:val="331B4578"/>
    <w:rsid w:val="331D2D88"/>
    <w:rsid w:val="331E7E5C"/>
    <w:rsid w:val="3323300B"/>
    <w:rsid w:val="332629EB"/>
    <w:rsid w:val="332A58B0"/>
    <w:rsid w:val="332B1649"/>
    <w:rsid w:val="332C3C60"/>
    <w:rsid w:val="332D4F16"/>
    <w:rsid w:val="332E240F"/>
    <w:rsid w:val="332E3412"/>
    <w:rsid w:val="332F09CC"/>
    <w:rsid w:val="3330269A"/>
    <w:rsid w:val="333353B7"/>
    <w:rsid w:val="33346A83"/>
    <w:rsid w:val="33392465"/>
    <w:rsid w:val="33392FB1"/>
    <w:rsid w:val="333A687C"/>
    <w:rsid w:val="33412752"/>
    <w:rsid w:val="33447231"/>
    <w:rsid w:val="33454B1D"/>
    <w:rsid w:val="3348398D"/>
    <w:rsid w:val="334B36E3"/>
    <w:rsid w:val="334C5B8E"/>
    <w:rsid w:val="33552521"/>
    <w:rsid w:val="335845F2"/>
    <w:rsid w:val="335F2258"/>
    <w:rsid w:val="335F6666"/>
    <w:rsid w:val="33600A1B"/>
    <w:rsid w:val="336049AB"/>
    <w:rsid w:val="336079A4"/>
    <w:rsid w:val="33633D7F"/>
    <w:rsid w:val="3363656A"/>
    <w:rsid w:val="3368680B"/>
    <w:rsid w:val="33694CFC"/>
    <w:rsid w:val="336B1B7A"/>
    <w:rsid w:val="336B49B1"/>
    <w:rsid w:val="336C63B3"/>
    <w:rsid w:val="336E664F"/>
    <w:rsid w:val="337148D9"/>
    <w:rsid w:val="33714B9E"/>
    <w:rsid w:val="33726918"/>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852D5"/>
    <w:rsid w:val="33AC3669"/>
    <w:rsid w:val="33B676B2"/>
    <w:rsid w:val="33BA0CF2"/>
    <w:rsid w:val="33BD11C3"/>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04542"/>
    <w:rsid w:val="34354D2A"/>
    <w:rsid w:val="34370697"/>
    <w:rsid w:val="34377A96"/>
    <w:rsid w:val="3438068A"/>
    <w:rsid w:val="343A2BAC"/>
    <w:rsid w:val="343A7885"/>
    <w:rsid w:val="343D09F8"/>
    <w:rsid w:val="343D2198"/>
    <w:rsid w:val="343D7FFA"/>
    <w:rsid w:val="34432AC2"/>
    <w:rsid w:val="3444095A"/>
    <w:rsid w:val="34443A6E"/>
    <w:rsid w:val="34452873"/>
    <w:rsid w:val="344A06F0"/>
    <w:rsid w:val="34535DC2"/>
    <w:rsid w:val="345800D2"/>
    <w:rsid w:val="345D4C8A"/>
    <w:rsid w:val="345D7342"/>
    <w:rsid w:val="345F04FA"/>
    <w:rsid w:val="346342E8"/>
    <w:rsid w:val="3465737C"/>
    <w:rsid w:val="3466401F"/>
    <w:rsid w:val="346656E0"/>
    <w:rsid w:val="346724F8"/>
    <w:rsid w:val="346755AF"/>
    <w:rsid w:val="34677397"/>
    <w:rsid w:val="346B2496"/>
    <w:rsid w:val="347005AF"/>
    <w:rsid w:val="34765479"/>
    <w:rsid w:val="3477672A"/>
    <w:rsid w:val="34776D68"/>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A31984"/>
    <w:rsid w:val="34A900C2"/>
    <w:rsid w:val="34A95BE1"/>
    <w:rsid w:val="34AE2BE2"/>
    <w:rsid w:val="34B20943"/>
    <w:rsid w:val="34B22F51"/>
    <w:rsid w:val="34B45980"/>
    <w:rsid w:val="34B60F57"/>
    <w:rsid w:val="34B8061B"/>
    <w:rsid w:val="34BD6CEB"/>
    <w:rsid w:val="34BE1EF3"/>
    <w:rsid w:val="34C050C8"/>
    <w:rsid w:val="34C213CC"/>
    <w:rsid w:val="34C40F13"/>
    <w:rsid w:val="34C63512"/>
    <w:rsid w:val="34C93441"/>
    <w:rsid w:val="34CA2A40"/>
    <w:rsid w:val="34CE2C10"/>
    <w:rsid w:val="34D00D51"/>
    <w:rsid w:val="34D1468F"/>
    <w:rsid w:val="34D33219"/>
    <w:rsid w:val="34D62F80"/>
    <w:rsid w:val="34D8107E"/>
    <w:rsid w:val="34DD52EE"/>
    <w:rsid w:val="34DE31E4"/>
    <w:rsid w:val="34DF36C3"/>
    <w:rsid w:val="34E375A0"/>
    <w:rsid w:val="34E61D78"/>
    <w:rsid w:val="34E66B9B"/>
    <w:rsid w:val="34E77E7F"/>
    <w:rsid w:val="34EB238D"/>
    <w:rsid w:val="34EB7A8D"/>
    <w:rsid w:val="34EC4728"/>
    <w:rsid w:val="34F012A4"/>
    <w:rsid w:val="34F130C4"/>
    <w:rsid w:val="34F13687"/>
    <w:rsid w:val="34F36BAD"/>
    <w:rsid w:val="34F74FC0"/>
    <w:rsid w:val="34F829EE"/>
    <w:rsid w:val="34FA4282"/>
    <w:rsid w:val="35052E54"/>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3285"/>
    <w:rsid w:val="35236787"/>
    <w:rsid w:val="3525662C"/>
    <w:rsid w:val="35293504"/>
    <w:rsid w:val="352D3ABC"/>
    <w:rsid w:val="35313D0A"/>
    <w:rsid w:val="35330412"/>
    <w:rsid w:val="353402AB"/>
    <w:rsid w:val="353C1221"/>
    <w:rsid w:val="353E485B"/>
    <w:rsid w:val="353E714D"/>
    <w:rsid w:val="354719C6"/>
    <w:rsid w:val="35487B8F"/>
    <w:rsid w:val="354E2EDB"/>
    <w:rsid w:val="35520B14"/>
    <w:rsid w:val="35531774"/>
    <w:rsid w:val="355433C3"/>
    <w:rsid w:val="35560761"/>
    <w:rsid w:val="355B3738"/>
    <w:rsid w:val="356013D2"/>
    <w:rsid w:val="356301C7"/>
    <w:rsid w:val="35632FCC"/>
    <w:rsid w:val="35633176"/>
    <w:rsid w:val="356475CF"/>
    <w:rsid w:val="3566489B"/>
    <w:rsid w:val="356A327B"/>
    <w:rsid w:val="356A7ACC"/>
    <w:rsid w:val="357021DB"/>
    <w:rsid w:val="35722631"/>
    <w:rsid w:val="35754EB4"/>
    <w:rsid w:val="357608A8"/>
    <w:rsid w:val="357E4032"/>
    <w:rsid w:val="357E61C0"/>
    <w:rsid w:val="357F30D1"/>
    <w:rsid w:val="35813CF0"/>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50D97"/>
    <w:rsid w:val="35C62569"/>
    <w:rsid w:val="35CC7EB9"/>
    <w:rsid w:val="35CE63CC"/>
    <w:rsid w:val="35D02593"/>
    <w:rsid w:val="35D32DF2"/>
    <w:rsid w:val="35D50AB4"/>
    <w:rsid w:val="35DA38CF"/>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562D0"/>
    <w:rsid w:val="361A0658"/>
    <w:rsid w:val="361A31C1"/>
    <w:rsid w:val="361A7657"/>
    <w:rsid w:val="361C10F5"/>
    <w:rsid w:val="362013CC"/>
    <w:rsid w:val="362020B8"/>
    <w:rsid w:val="362B5CD8"/>
    <w:rsid w:val="362E236E"/>
    <w:rsid w:val="36397704"/>
    <w:rsid w:val="363A1192"/>
    <w:rsid w:val="363A5699"/>
    <w:rsid w:val="363B6873"/>
    <w:rsid w:val="363C0117"/>
    <w:rsid w:val="363D1669"/>
    <w:rsid w:val="363E0E35"/>
    <w:rsid w:val="36484EB0"/>
    <w:rsid w:val="36490087"/>
    <w:rsid w:val="364B5A32"/>
    <w:rsid w:val="364C701A"/>
    <w:rsid w:val="364F5274"/>
    <w:rsid w:val="364F717B"/>
    <w:rsid w:val="36524964"/>
    <w:rsid w:val="365331FB"/>
    <w:rsid w:val="365475DF"/>
    <w:rsid w:val="36561027"/>
    <w:rsid w:val="365627B1"/>
    <w:rsid w:val="36577678"/>
    <w:rsid w:val="365E400D"/>
    <w:rsid w:val="36604FF1"/>
    <w:rsid w:val="36645AF2"/>
    <w:rsid w:val="36663241"/>
    <w:rsid w:val="36676BC9"/>
    <w:rsid w:val="36676F03"/>
    <w:rsid w:val="36684F14"/>
    <w:rsid w:val="366C7CDD"/>
    <w:rsid w:val="366F3065"/>
    <w:rsid w:val="366F792B"/>
    <w:rsid w:val="36704AAA"/>
    <w:rsid w:val="36714BAF"/>
    <w:rsid w:val="3676650A"/>
    <w:rsid w:val="367A46AF"/>
    <w:rsid w:val="367C71A1"/>
    <w:rsid w:val="367D7A13"/>
    <w:rsid w:val="367E2822"/>
    <w:rsid w:val="368047E3"/>
    <w:rsid w:val="36810EEA"/>
    <w:rsid w:val="36814BC8"/>
    <w:rsid w:val="368207F2"/>
    <w:rsid w:val="36823BFF"/>
    <w:rsid w:val="368379E4"/>
    <w:rsid w:val="36864170"/>
    <w:rsid w:val="368737C3"/>
    <w:rsid w:val="368A5895"/>
    <w:rsid w:val="368D1CFF"/>
    <w:rsid w:val="368E1745"/>
    <w:rsid w:val="36921C82"/>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BC309B"/>
    <w:rsid w:val="36BD13EC"/>
    <w:rsid w:val="36BE3A9F"/>
    <w:rsid w:val="36BF5E48"/>
    <w:rsid w:val="36C53E1E"/>
    <w:rsid w:val="36C65164"/>
    <w:rsid w:val="36C95D41"/>
    <w:rsid w:val="36CA0AA6"/>
    <w:rsid w:val="36CA2C4C"/>
    <w:rsid w:val="36CA535B"/>
    <w:rsid w:val="36CB1C2C"/>
    <w:rsid w:val="36CB2B2F"/>
    <w:rsid w:val="36CB30F4"/>
    <w:rsid w:val="36CB3F81"/>
    <w:rsid w:val="36D34DB0"/>
    <w:rsid w:val="36D452E6"/>
    <w:rsid w:val="36D55931"/>
    <w:rsid w:val="36DC5D77"/>
    <w:rsid w:val="36DD59AF"/>
    <w:rsid w:val="36E14EA4"/>
    <w:rsid w:val="36E34B82"/>
    <w:rsid w:val="36E9153B"/>
    <w:rsid w:val="36EA3D0E"/>
    <w:rsid w:val="36F216B5"/>
    <w:rsid w:val="36F51847"/>
    <w:rsid w:val="36F60D45"/>
    <w:rsid w:val="36F61CCC"/>
    <w:rsid w:val="36F962D4"/>
    <w:rsid w:val="36F979CE"/>
    <w:rsid w:val="36FC579D"/>
    <w:rsid w:val="36FD0A26"/>
    <w:rsid w:val="3703309C"/>
    <w:rsid w:val="37057B36"/>
    <w:rsid w:val="370C5E63"/>
    <w:rsid w:val="370D666A"/>
    <w:rsid w:val="370E03FB"/>
    <w:rsid w:val="371C4407"/>
    <w:rsid w:val="371E72FF"/>
    <w:rsid w:val="37200ED3"/>
    <w:rsid w:val="3722583F"/>
    <w:rsid w:val="372275E5"/>
    <w:rsid w:val="3729467F"/>
    <w:rsid w:val="372B7C1B"/>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8118BC"/>
    <w:rsid w:val="37830EF6"/>
    <w:rsid w:val="3789223E"/>
    <w:rsid w:val="378B1876"/>
    <w:rsid w:val="378B20DD"/>
    <w:rsid w:val="378B7C94"/>
    <w:rsid w:val="378D16CF"/>
    <w:rsid w:val="37926C17"/>
    <w:rsid w:val="379357BD"/>
    <w:rsid w:val="37945958"/>
    <w:rsid w:val="37981CC8"/>
    <w:rsid w:val="37987B70"/>
    <w:rsid w:val="37996316"/>
    <w:rsid w:val="379B2732"/>
    <w:rsid w:val="37A01C96"/>
    <w:rsid w:val="37A41F82"/>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2B30"/>
    <w:rsid w:val="37D9256B"/>
    <w:rsid w:val="37D96B9D"/>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4038B"/>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4B6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807CE"/>
    <w:rsid w:val="385C77B5"/>
    <w:rsid w:val="385E7E90"/>
    <w:rsid w:val="38683C21"/>
    <w:rsid w:val="38695523"/>
    <w:rsid w:val="386B325F"/>
    <w:rsid w:val="386C7B91"/>
    <w:rsid w:val="386E7FC0"/>
    <w:rsid w:val="386F7032"/>
    <w:rsid w:val="38700BC9"/>
    <w:rsid w:val="38706AED"/>
    <w:rsid w:val="387309A3"/>
    <w:rsid w:val="38754C1A"/>
    <w:rsid w:val="387658DF"/>
    <w:rsid w:val="3877150D"/>
    <w:rsid w:val="387A0FDB"/>
    <w:rsid w:val="387B3AC0"/>
    <w:rsid w:val="38807BED"/>
    <w:rsid w:val="388258C4"/>
    <w:rsid w:val="388502AF"/>
    <w:rsid w:val="38852E66"/>
    <w:rsid w:val="38872977"/>
    <w:rsid w:val="38896632"/>
    <w:rsid w:val="388C32AF"/>
    <w:rsid w:val="388F388E"/>
    <w:rsid w:val="388F54C9"/>
    <w:rsid w:val="3892462D"/>
    <w:rsid w:val="38931B7F"/>
    <w:rsid w:val="38936A65"/>
    <w:rsid w:val="38955AAE"/>
    <w:rsid w:val="38955E11"/>
    <w:rsid w:val="3896390F"/>
    <w:rsid w:val="3897422B"/>
    <w:rsid w:val="38981115"/>
    <w:rsid w:val="389C4DAD"/>
    <w:rsid w:val="389D6C69"/>
    <w:rsid w:val="389E2802"/>
    <w:rsid w:val="38A032DC"/>
    <w:rsid w:val="38A3697B"/>
    <w:rsid w:val="38A36E31"/>
    <w:rsid w:val="38A94EA8"/>
    <w:rsid w:val="38A96163"/>
    <w:rsid w:val="38AA69A4"/>
    <w:rsid w:val="38AA6BAE"/>
    <w:rsid w:val="38AC3DE9"/>
    <w:rsid w:val="38AE4D5A"/>
    <w:rsid w:val="38B12CAC"/>
    <w:rsid w:val="38B76992"/>
    <w:rsid w:val="38B810F5"/>
    <w:rsid w:val="38B94CF4"/>
    <w:rsid w:val="38BB5E78"/>
    <w:rsid w:val="38C21DAC"/>
    <w:rsid w:val="38C33EB9"/>
    <w:rsid w:val="38C81CB4"/>
    <w:rsid w:val="38C827BD"/>
    <w:rsid w:val="38C848B2"/>
    <w:rsid w:val="38CA4759"/>
    <w:rsid w:val="38CC3B5A"/>
    <w:rsid w:val="38D13EBF"/>
    <w:rsid w:val="38D35429"/>
    <w:rsid w:val="38D619EC"/>
    <w:rsid w:val="38D86656"/>
    <w:rsid w:val="38D97B90"/>
    <w:rsid w:val="38DF7FF9"/>
    <w:rsid w:val="38E0618E"/>
    <w:rsid w:val="38E2203F"/>
    <w:rsid w:val="38E378F8"/>
    <w:rsid w:val="38E401A6"/>
    <w:rsid w:val="38E46A6B"/>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2B0F"/>
    <w:rsid w:val="390D5688"/>
    <w:rsid w:val="390D5E5D"/>
    <w:rsid w:val="391023C5"/>
    <w:rsid w:val="39153D76"/>
    <w:rsid w:val="391948B2"/>
    <w:rsid w:val="391A2FDB"/>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A11A9"/>
    <w:rsid w:val="394B1C26"/>
    <w:rsid w:val="394F35E6"/>
    <w:rsid w:val="394F5709"/>
    <w:rsid w:val="395144AD"/>
    <w:rsid w:val="3953501E"/>
    <w:rsid w:val="39541AC3"/>
    <w:rsid w:val="39575392"/>
    <w:rsid w:val="39591EEF"/>
    <w:rsid w:val="39595FA9"/>
    <w:rsid w:val="395B164D"/>
    <w:rsid w:val="395B53C1"/>
    <w:rsid w:val="395C0694"/>
    <w:rsid w:val="395C59E8"/>
    <w:rsid w:val="39604549"/>
    <w:rsid w:val="3965228B"/>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40846"/>
    <w:rsid w:val="39951FD8"/>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E5D7E"/>
    <w:rsid w:val="39D30F0A"/>
    <w:rsid w:val="39E41D0B"/>
    <w:rsid w:val="39EB222D"/>
    <w:rsid w:val="39EC4FB0"/>
    <w:rsid w:val="39ED2062"/>
    <w:rsid w:val="39EE55E4"/>
    <w:rsid w:val="39EF603E"/>
    <w:rsid w:val="39F04274"/>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660D9"/>
    <w:rsid w:val="3A16787E"/>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907D9"/>
    <w:rsid w:val="3A6F2676"/>
    <w:rsid w:val="3A715329"/>
    <w:rsid w:val="3A72102F"/>
    <w:rsid w:val="3A752CCA"/>
    <w:rsid w:val="3A765C48"/>
    <w:rsid w:val="3A7826DC"/>
    <w:rsid w:val="3A7B345F"/>
    <w:rsid w:val="3A7E4FD4"/>
    <w:rsid w:val="3A803D83"/>
    <w:rsid w:val="3A86466B"/>
    <w:rsid w:val="3A866BC6"/>
    <w:rsid w:val="3A88283F"/>
    <w:rsid w:val="3A8A24AC"/>
    <w:rsid w:val="3A8D6C1B"/>
    <w:rsid w:val="3A911FB9"/>
    <w:rsid w:val="3A916C31"/>
    <w:rsid w:val="3A935F2A"/>
    <w:rsid w:val="3A9527F8"/>
    <w:rsid w:val="3A974154"/>
    <w:rsid w:val="3A974EF8"/>
    <w:rsid w:val="3A995C06"/>
    <w:rsid w:val="3A9A14C7"/>
    <w:rsid w:val="3A9A2D6D"/>
    <w:rsid w:val="3A9B26E8"/>
    <w:rsid w:val="3A9B7985"/>
    <w:rsid w:val="3A9D4982"/>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666BB"/>
    <w:rsid w:val="3AEA6F2D"/>
    <w:rsid w:val="3AEC78E4"/>
    <w:rsid w:val="3AED7F4D"/>
    <w:rsid w:val="3AF01DD9"/>
    <w:rsid w:val="3AF14C1B"/>
    <w:rsid w:val="3AF17025"/>
    <w:rsid w:val="3AF71619"/>
    <w:rsid w:val="3AFA6798"/>
    <w:rsid w:val="3AFD3ABC"/>
    <w:rsid w:val="3B005834"/>
    <w:rsid w:val="3B014117"/>
    <w:rsid w:val="3B0309CB"/>
    <w:rsid w:val="3B0923C9"/>
    <w:rsid w:val="3B0A7CDB"/>
    <w:rsid w:val="3B0B5E1A"/>
    <w:rsid w:val="3B0C7433"/>
    <w:rsid w:val="3B0F0F64"/>
    <w:rsid w:val="3B10406B"/>
    <w:rsid w:val="3B1301C7"/>
    <w:rsid w:val="3B1332A8"/>
    <w:rsid w:val="3B140FE1"/>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713C84"/>
    <w:rsid w:val="3B727953"/>
    <w:rsid w:val="3B7425A9"/>
    <w:rsid w:val="3B7753C4"/>
    <w:rsid w:val="3B7A2A36"/>
    <w:rsid w:val="3B865706"/>
    <w:rsid w:val="3B88785D"/>
    <w:rsid w:val="3B893A66"/>
    <w:rsid w:val="3B8A2767"/>
    <w:rsid w:val="3B8D278A"/>
    <w:rsid w:val="3B9002D8"/>
    <w:rsid w:val="3B9E263F"/>
    <w:rsid w:val="3BA01064"/>
    <w:rsid w:val="3BA2235B"/>
    <w:rsid w:val="3BA25F36"/>
    <w:rsid w:val="3BA35EEB"/>
    <w:rsid w:val="3BA46E0D"/>
    <w:rsid w:val="3BA65FBF"/>
    <w:rsid w:val="3BA97495"/>
    <w:rsid w:val="3BAB50B1"/>
    <w:rsid w:val="3BAC56E9"/>
    <w:rsid w:val="3BAD1C33"/>
    <w:rsid w:val="3BAD4688"/>
    <w:rsid w:val="3BB405C4"/>
    <w:rsid w:val="3BB607D5"/>
    <w:rsid w:val="3BBA22AA"/>
    <w:rsid w:val="3BC031A2"/>
    <w:rsid w:val="3BC14262"/>
    <w:rsid w:val="3BC1679E"/>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6E99"/>
    <w:rsid w:val="3BEA0B4F"/>
    <w:rsid w:val="3BEB2B06"/>
    <w:rsid w:val="3BEC4C91"/>
    <w:rsid w:val="3BED1926"/>
    <w:rsid w:val="3BF02B60"/>
    <w:rsid w:val="3BF13136"/>
    <w:rsid w:val="3BF13E9D"/>
    <w:rsid w:val="3BF23597"/>
    <w:rsid w:val="3BF820DF"/>
    <w:rsid w:val="3BF872F0"/>
    <w:rsid w:val="3BFF1E65"/>
    <w:rsid w:val="3C024E41"/>
    <w:rsid w:val="3C112A73"/>
    <w:rsid w:val="3C132F78"/>
    <w:rsid w:val="3C162D3D"/>
    <w:rsid w:val="3C1E55AE"/>
    <w:rsid w:val="3C21141C"/>
    <w:rsid w:val="3C244BC9"/>
    <w:rsid w:val="3C2523B0"/>
    <w:rsid w:val="3C2B17C2"/>
    <w:rsid w:val="3C2C341E"/>
    <w:rsid w:val="3C2E0501"/>
    <w:rsid w:val="3C3A5460"/>
    <w:rsid w:val="3C3B3040"/>
    <w:rsid w:val="3C4140E5"/>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783C99"/>
    <w:rsid w:val="3C7975E9"/>
    <w:rsid w:val="3C7A012E"/>
    <w:rsid w:val="3C7A5BD8"/>
    <w:rsid w:val="3C7B1118"/>
    <w:rsid w:val="3C875C09"/>
    <w:rsid w:val="3C87704D"/>
    <w:rsid w:val="3C89645E"/>
    <w:rsid w:val="3C91688D"/>
    <w:rsid w:val="3C941D5B"/>
    <w:rsid w:val="3C946FD3"/>
    <w:rsid w:val="3C977ADE"/>
    <w:rsid w:val="3C9A1014"/>
    <w:rsid w:val="3C9A390C"/>
    <w:rsid w:val="3C9D2711"/>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C3CF8"/>
    <w:rsid w:val="3CBD781C"/>
    <w:rsid w:val="3CBF6905"/>
    <w:rsid w:val="3CC441A0"/>
    <w:rsid w:val="3CC84876"/>
    <w:rsid w:val="3CCA6D5C"/>
    <w:rsid w:val="3CCC2374"/>
    <w:rsid w:val="3CCD3212"/>
    <w:rsid w:val="3CD22856"/>
    <w:rsid w:val="3CD45F4E"/>
    <w:rsid w:val="3CDA647B"/>
    <w:rsid w:val="3CE06825"/>
    <w:rsid w:val="3CE22769"/>
    <w:rsid w:val="3CE3559C"/>
    <w:rsid w:val="3CE578FF"/>
    <w:rsid w:val="3CEC0192"/>
    <w:rsid w:val="3CEF23B6"/>
    <w:rsid w:val="3CF1524F"/>
    <w:rsid w:val="3CF70854"/>
    <w:rsid w:val="3CF73BCE"/>
    <w:rsid w:val="3CF9146D"/>
    <w:rsid w:val="3CF970DE"/>
    <w:rsid w:val="3CFA1729"/>
    <w:rsid w:val="3CFA6C45"/>
    <w:rsid w:val="3CFD04AB"/>
    <w:rsid w:val="3CFD6CEC"/>
    <w:rsid w:val="3D005DB5"/>
    <w:rsid w:val="3D0115AC"/>
    <w:rsid w:val="3D01394B"/>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254C5B"/>
    <w:rsid w:val="3D280674"/>
    <w:rsid w:val="3D2E3AFF"/>
    <w:rsid w:val="3D304F13"/>
    <w:rsid w:val="3D342281"/>
    <w:rsid w:val="3D375810"/>
    <w:rsid w:val="3D3B0BA0"/>
    <w:rsid w:val="3D464286"/>
    <w:rsid w:val="3D4763DB"/>
    <w:rsid w:val="3D4D5883"/>
    <w:rsid w:val="3D515364"/>
    <w:rsid w:val="3D536BF6"/>
    <w:rsid w:val="3D5633BC"/>
    <w:rsid w:val="3D563A4D"/>
    <w:rsid w:val="3D595319"/>
    <w:rsid w:val="3D5C0660"/>
    <w:rsid w:val="3D642E86"/>
    <w:rsid w:val="3D65299D"/>
    <w:rsid w:val="3D661101"/>
    <w:rsid w:val="3D6D491E"/>
    <w:rsid w:val="3D6E7D33"/>
    <w:rsid w:val="3D7002C2"/>
    <w:rsid w:val="3D770DCA"/>
    <w:rsid w:val="3D780D83"/>
    <w:rsid w:val="3D7C7DB9"/>
    <w:rsid w:val="3D7D1CE2"/>
    <w:rsid w:val="3D7D1DBF"/>
    <w:rsid w:val="3D7E54CD"/>
    <w:rsid w:val="3D841C5A"/>
    <w:rsid w:val="3D8A1B84"/>
    <w:rsid w:val="3D8A46BE"/>
    <w:rsid w:val="3D905710"/>
    <w:rsid w:val="3D91524E"/>
    <w:rsid w:val="3D96231E"/>
    <w:rsid w:val="3D98104C"/>
    <w:rsid w:val="3D9C59F5"/>
    <w:rsid w:val="3DA043F3"/>
    <w:rsid w:val="3DA611ED"/>
    <w:rsid w:val="3DA612FE"/>
    <w:rsid w:val="3DAC2E59"/>
    <w:rsid w:val="3DAE1CB9"/>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1093"/>
    <w:rsid w:val="3DDD7E7B"/>
    <w:rsid w:val="3DE47139"/>
    <w:rsid w:val="3DE57922"/>
    <w:rsid w:val="3DE819E4"/>
    <w:rsid w:val="3DEA5222"/>
    <w:rsid w:val="3DEB2B9B"/>
    <w:rsid w:val="3DEB4B11"/>
    <w:rsid w:val="3DF40946"/>
    <w:rsid w:val="3DFD019E"/>
    <w:rsid w:val="3DFE0902"/>
    <w:rsid w:val="3E0106EB"/>
    <w:rsid w:val="3E012B2C"/>
    <w:rsid w:val="3E0C1387"/>
    <w:rsid w:val="3E0D51E7"/>
    <w:rsid w:val="3E116C9B"/>
    <w:rsid w:val="3E124DCF"/>
    <w:rsid w:val="3E1421BA"/>
    <w:rsid w:val="3E1615A3"/>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C3711"/>
    <w:rsid w:val="3E3E1756"/>
    <w:rsid w:val="3E3F7E9F"/>
    <w:rsid w:val="3E403C05"/>
    <w:rsid w:val="3E422EB2"/>
    <w:rsid w:val="3E431EC9"/>
    <w:rsid w:val="3E4632DB"/>
    <w:rsid w:val="3E4B637C"/>
    <w:rsid w:val="3E530C6A"/>
    <w:rsid w:val="3E563101"/>
    <w:rsid w:val="3E57271F"/>
    <w:rsid w:val="3E593A84"/>
    <w:rsid w:val="3E5B29C5"/>
    <w:rsid w:val="3E5C4A76"/>
    <w:rsid w:val="3E5C5398"/>
    <w:rsid w:val="3E5C7AFD"/>
    <w:rsid w:val="3E633F95"/>
    <w:rsid w:val="3E672E82"/>
    <w:rsid w:val="3E6870A8"/>
    <w:rsid w:val="3E6A3E7E"/>
    <w:rsid w:val="3E6C1F9A"/>
    <w:rsid w:val="3E6E2467"/>
    <w:rsid w:val="3E731902"/>
    <w:rsid w:val="3E7778D2"/>
    <w:rsid w:val="3E7830D0"/>
    <w:rsid w:val="3E787F28"/>
    <w:rsid w:val="3E7A5E00"/>
    <w:rsid w:val="3E7A6765"/>
    <w:rsid w:val="3E7B47E7"/>
    <w:rsid w:val="3E7B7B6D"/>
    <w:rsid w:val="3E7F0079"/>
    <w:rsid w:val="3E817414"/>
    <w:rsid w:val="3E855B92"/>
    <w:rsid w:val="3E863B8C"/>
    <w:rsid w:val="3E8B50BE"/>
    <w:rsid w:val="3E944971"/>
    <w:rsid w:val="3E966B1B"/>
    <w:rsid w:val="3E9B1377"/>
    <w:rsid w:val="3E9C7FD2"/>
    <w:rsid w:val="3EA24692"/>
    <w:rsid w:val="3EA462C0"/>
    <w:rsid w:val="3EAA3B71"/>
    <w:rsid w:val="3EAB1EC5"/>
    <w:rsid w:val="3EB01A7D"/>
    <w:rsid w:val="3EB13734"/>
    <w:rsid w:val="3EB50342"/>
    <w:rsid w:val="3EBA4C64"/>
    <w:rsid w:val="3EBD7C2E"/>
    <w:rsid w:val="3EBF5387"/>
    <w:rsid w:val="3EC11F08"/>
    <w:rsid w:val="3EC54DA8"/>
    <w:rsid w:val="3EC92342"/>
    <w:rsid w:val="3ECC5E15"/>
    <w:rsid w:val="3ECE2716"/>
    <w:rsid w:val="3ECE2B76"/>
    <w:rsid w:val="3ED22264"/>
    <w:rsid w:val="3ED46D63"/>
    <w:rsid w:val="3ED60170"/>
    <w:rsid w:val="3ED60C68"/>
    <w:rsid w:val="3ED60EBD"/>
    <w:rsid w:val="3EDA759A"/>
    <w:rsid w:val="3EDB63C0"/>
    <w:rsid w:val="3EDC2013"/>
    <w:rsid w:val="3EDF5029"/>
    <w:rsid w:val="3EE1467A"/>
    <w:rsid w:val="3EE266D9"/>
    <w:rsid w:val="3EE823FD"/>
    <w:rsid w:val="3EE82E68"/>
    <w:rsid w:val="3EE840DA"/>
    <w:rsid w:val="3EE876D6"/>
    <w:rsid w:val="3EEE4C2B"/>
    <w:rsid w:val="3EF02A4E"/>
    <w:rsid w:val="3EF16F1C"/>
    <w:rsid w:val="3EF91C93"/>
    <w:rsid w:val="3EFC0408"/>
    <w:rsid w:val="3EFE5640"/>
    <w:rsid w:val="3F03544B"/>
    <w:rsid w:val="3F07348C"/>
    <w:rsid w:val="3F092C0E"/>
    <w:rsid w:val="3F0E07A4"/>
    <w:rsid w:val="3F1022E7"/>
    <w:rsid w:val="3F1403A7"/>
    <w:rsid w:val="3F153757"/>
    <w:rsid w:val="3F1800AD"/>
    <w:rsid w:val="3F1A108D"/>
    <w:rsid w:val="3F1D0A42"/>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4D7E1F"/>
    <w:rsid w:val="3F5377BC"/>
    <w:rsid w:val="3F5422BA"/>
    <w:rsid w:val="3F553D74"/>
    <w:rsid w:val="3F573758"/>
    <w:rsid w:val="3F5859FF"/>
    <w:rsid w:val="3F5A687F"/>
    <w:rsid w:val="3F5B25E7"/>
    <w:rsid w:val="3F5C0908"/>
    <w:rsid w:val="3F602F8B"/>
    <w:rsid w:val="3F61634D"/>
    <w:rsid w:val="3F642C09"/>
    <w:rsid w:val="3F673FC2"/>
    <w:rsid w:val="3F6A5DB1"/>
    <w:rsid w:val="3F6B425D"/>
    <w:rsid w:val="3F6E7310"/>
    <w:rsid w:val="3F7036E2"/>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C7BCF"/>
    <w:rsid w:val="3F90302C"/>
    <w:rsid w:val="3F912A3D"/>
    <w:rsid w:val="3F973E91"/>
    <w:rsid w:val="3F97484C"/>
    <w:rsid w:val="3F974BF1"/>
    <w:rsid w:val="3F987DA1"/>
    <w:rsid w:val="3F9B71D4"/>
    <w:rsid w:val="3FA21BEC"/>
    <w:rsid w:val="3FA24068"/>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CF797D"/>
    <w:rsid w:val="3FD51B23"/>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2945"/>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96750"/>
    <w:rsid w:val="408B1A1C"/>
    <w:rsid w:val="408C32A7"/>
    <w:rsid w:val="408D400F"/>
    <w:rsid w:val="408D5519"/>
    <w:rsid w:val="40901345"/>
    <w:rsid w:val="40966D49"/>
    <w:rsid w:val="40995EBB"/>
    <w:rsid w:val="409C1E40"/>
    <w:rsid w:val="409F3D47"/>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C77A2"/>
    <w:rsid w:val="40CF189C"/>
    <w:rsid w:val="40CF324A"/>
    <w:rsid w:val="40D75C38"/>
    <w:rsid w:val="40D872E3"/>
    <w:rsid w:val="40DB533C"/>
    <w:rsid w:val="40DD4BFD"/>
    <w:rsid w:val="40DE6600"/>
    <w:rsid w:val="40E21922"/>
    <w:rsid w:val="40E344A5"/>
    <w:rsid w:val="40E84EF7"/>
    <w:rsid w:val="40EA43E4"/>
    <w:rsid w:val="40EB46C0"/>
    <w:rsid w:val="40EC7E0A"/>
    <w:rsid w:val="40F9374E"/>
    <w:rsid w:val="40FC7EA0"/>
    <w:rsid w:val="40FE571C"/>
    <w:rsid w:val="40FF012B"/>
    <w:rsid w:val="410261F4"/>
    <w:rsid w:val="41027C8A"/>
    <w:rsid w:val="410D11EA"/>
    <w:rsid w:val="410F0083"/>
    <w:rsid w:val="41113811"/>
    <w:rsid w:val="41116958"/>
    <w:rsid w:val="41130281"/>
    <w:rsid w:val="4113268C"/>
    <w:rsid w:val="411526A7"/>
    <w:rsid w:val="411D0690"/>
    <w:rsid w:val="411D7D4D"/>
    <w:rsid w:val="41201982"/>
    <w:rsid w:val="41240938"/>
    <w:rsid w:val="41250F71"/>
    <w:rsid w:val="41252175"/>
    <w:rsid w:val="412633A4"/>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24AB2"/>
    <w:rsid w:val="417348A6"/>
    <w:rsid w:val="41780330"/>
    <w:rsid w:val="4179005A"/>
    <w:rsid w:val="417A54B0"/>
    <w:rsid w:val="417B5B86"/>
    <w:rsid w:val="41833FA9"/>
    <w:rsid w:val="41834B3E"/>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DE24A6"/>
    <w:rsid w:val="41E37535"/>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100C94"/>
    <w:rsid w:val="4212226F"/>
    <w:rsid w:val="42145BCB"/>
    <w:rsid w:val="421521B7"/>
    <w:rsid w:val="42186412"/>
    <w:rsid w:val="421F1E59"/>
    <w:rsid w:val="42240E5E"/>
    <w:rsid w:val="42241BB3"/>
    <w:rsid w:val="42252110"/>
    <w:rsid w:val="42254F5C"/>
    <w:rsid w:val="42261274"/>
    <w:rsid w:val="42274EE1"/>
    <w:rsid w:val="422C780A"/>
    <w:rsid w:val="42327390"/>
    <w:rsid w:val="4234473C"/>
    <w:rsid w:val="423448AE"/>
    <w:rsid w:val="4237088B"/>
    <w:rsid w:val="423F01FA"/>
    <w:rsid w:val="424A02A7"/>
    <w:rsid w:val="424A6CAE"/>
    <w:rsid w:val="424E1907"/>
    <w:rsid w:val="424E52AA"/>
    <w:rsid w:val="425249E8"/>
    <w:rsid w:val="425450B8"/>
    <w:rsid w:val="425744B6"/>
    <w:rsid w:val="42593001"/>
    <w:rsid w:val="425A0599"/>
    <w:rsid w:val="42625810"/>
    <w:rsid w:val="42626593"/>
    <w:rsid w:val="42627F6A"/>
    <w:rsid w:val="426C21F7"/>
    <w:rsid w:val="426E21BA"/>
    <w:rsid w:val="42721A02"/>
    <w:rsid w:val="42753089"/>
    <w:rsid w:val="42757EB7"/>
    <w:rsid w:val="42774A1E"/>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9F40F7"/>
    <w:rsid w:val="42A32B20"/>
    <w:rsid w:val="42A415DE"/>
    <w:rsid w:val="42A70633"/>
    <w:rsid w:val="42A9274D"/>
    <w:rsid w:val="42AA18E5"/>
    <w:rsid w:val="42AC71BA"/>
    <w:rsid w:val="42AD6F0E"/>
    <w:rsid w:val="42AF531E"/>
    <w:rsid w:val="42BA6835"/>
    <w:rsid w:val="42BD3486"/>
    <w:rsid w:val="42C04384"/>
    <w:rsid w:val="42C050F5"/>
    <w:rsid w:val="42C10B06"/>
    <w:rsid w:val="42C14EA3"/>
    <w:rsid w:val="42C378D3"/>
    <w:rsid w:val="42CD6729"/>
    <w:rsid w:val="42D1059F"/>
    <w:rsid w:val="42D24BC4"/>
    <w:rsid w:val="42D305CE"/>
    <w:rsid w:val="42D3635A"/>
    <w:rsid w:val="42DF0DEB"/>
    <w:rsid w:val="42E03F32"/>
    <w:rsid w:val="42E3779C"/>
    <w:rsid w:val="42E52701"/>
    <w:rsid w:val="42E53E10"/>
    <w:rsid w:val="42EB329D"/>
    <w:rsid w:val="42EC4260"/>
    <w:rsid w:val="42ED03DB"/>
    <w:rsid w:val="42EE66ED"/>
    <w:rsid w:val="42F25C4E"/>
    <w:rsid w:val="42F578C2"/>
    <w:rsid w:val="42F83670"/>
    <w:rsid w:val="42F91D6B"/>
    <w:rsid w:val="42F93A0A"/>
    <w:rsid w:val="42FA1FE0"/>
    <w:rsid w:val="42FB23B7"/>
    <w:rsid w:val="42FB5A6E"/>
    <w:rsid w:val="42FC60C3"/>
    <w:rsid w:val="42FF30CE"/>
    <w:rsid w:val="430016C3"/>
    <w:rsid w:val="4301294C"/>
    <w:rsid w:val="43037B36"/>
    <w:rsid w:val="43053AE6"/>
    <w:rsid w:val="43085A3B"/>
    <w:rsid w:val="431061B2"/>
    <w:rsid w:val="431304C2"/>
    <w:rsid w:val="4315036C"/>
    <w:rsid w:val="431A1505"/>
    <w:rsid w:val="431A352B"/>
    <w:rsid w:val="431B0884"/>
    <w:rsid w:val="431C5A07"/>
    <w:rsid w:val="43227D85"/>
    <w:rsid w:val="43232324"/>
    <w:rsid w:val="43240EE6"/>
    <w:rsid w:val="43281ABA"/>
    <w:rsid w:val="4328604B"/>
    <w:rsid w:val="43290401"/>
    <w:rsid w:val="432A3AD7"/>
    <w:rsid w:val="432B46D7"/>
    <w:rsid w:val="432C6DC6"/>
    <w:rsid w:val="432E7390"/>
    <w:rsid w:val="43330023"/>
    <w:rsid w:val="433A139B"/>
    <w:rsid w:val="433D092C"/>
    <w:rsid w:val="433E3343"/>
    <w:rsid w:val="434116E3"/>
    <w:rsid w:val="43431B15"/>
    <w:rsid w:val="43490CE1"/>
    <w:rsid w:val="43494D9B"/>
    <w:rsid w:val="434D1E4D"/>
    <w:rsid w:val="434E476E"/>
    <w:rsid w:val="4354210E"/>
    <w:rsid w:val="435447FE"/>
    <w:rsid w:val="435710C7"/>
    <w:rsid w:val="43587AA1"/>
    <w:rsid w:val="436225DC"/>
    <w:rsid w:val="43630EB8"/>
    <w:rsid w:val="43644EEC"/>
    <w:rsid w:val="43682183"/>
    <w:rsid w:val="43686B3C"/>
    <w:rsid w:val="43697C15"/>
    <w:rsid w:val="436D08D3"/>
    <w:rsid w:val="436D5EC0"/>
    <w:rsid w:val="436E1808"/>
    <w:rsid w:val="436F1C8B"/>
    <w:rsid w:val="437539D0"/>
    <w:rsid w:val="43780C7C"/>
    <w:rsid w:val="43795FA8"/>
    <w:rsid w:val="4381127E"/>
    <w:rsid w:val="43851064"/>
    <w:rsid w:val="43870512"/>
    <w:rsid w:val="43883077"/>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A409D"/>
    <w:rsid w:val="43EC5191"/>
    <w:rsid w:val="43ED008A"/>
    <w:rsid w:val="43EE4F17"/>
    <w:rsid w:val="43EF3D23"/>
    <w:rsid w:val="43F01409"/>
    <w:rsid w:val="43F02B03"/>
    <w:rsid w:val="43F07D1E"/>
    <w:rsid w:val="43F20FE3"/>
    <w:rsid w:val="43F61E12"/>
    <w:rsid w:val="43F95D9B"/>
    <w:rsid w:val="43FB3001"/>
    <w:rsid w:val="43FE3782"/>
    <w:rsid w:val="44051D69"/>
    <w:rsid w:val="440756EF"/>
    <w:rsid w:val="440C2F15"/>
    <w:rsid w:val="440F0642"/>
    <w:rsid w:val="440F49DD"/>
    <w:rsid w:val="441058F2"/>
    <w:rsid w:val="44106909"/>
    <w:rsid w:val="44134828"/>
    <w:rsid w:val="441C1204"/>
    <w:rsid w:val="441C7F84"/>
    <w:rsid w:val="441D2D64"/>
    <w:rsid w:val="441E2EA0"/>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E1FF9"/>
    <w:rsid w:val="44611A8F"/>
    <w:rsid w:val="44621ECE"/>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441C8"/>
    <w:rsid w:val="449828A0"/>
    <w:rsid w:val="449B02C3"/>
    <w:rsid w:val="449B2C0F"/>
    <w:rsid w:val="449D02AD"/>
    <w:rsid w:val="44A020A1"/>
    <w:rsid w:val="44A0270A"/>
    <w:rsid w:val="44A05A59"/>
    <w:rsid w:val="44A071AA"/>
    <w:rsid w:val="44A11C7E"/>
    <w:rsid w:val="44A63E53"/>
    <w:rsid w:val="44A91F94"/>
    <w:rsid w:val="44AB514A"/>
    <w:rsid w:val="44AB51EB"/>
    <w:rsid w:val="44AC5A57"/>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235936"/>
    <w:rsid w:val="452517F2"/>
    <w:rsid w:val="4528153E"/>
    <w:rsid w:val="452C18E5"/>
    <w:rsid w:val="452E18D6"/>
    <w:rsid w:val="45311463"/>
    <w:rsid w:val="45340980"/>
    <w:rsid w:val="453A36BE"/>
    <w:rsid w:val="453B1F44"/>
    <w:rsid w:val="453B6B17"/>
    <w:rsid w:val="4543292A"/>
    <w:rsid w:val="4546489D"/>
    <w:rsid w:val="45484802"/>
    <w:rsid w:val="454A2DFC"/>
    <w:rsid w:val="454A5117"/>
    <w:rsid w:val="454C0A2E"/>
    <w:rsid w:val="454C1559"/>
    <w:rsid w:val="454C4F41"/>
    <w:rsid w:val="454E0E8E"/>
    <w:rsid w:val="454F3910"/>
    <w:rsid w:val="45501DAF"/>
    <w:rsid w:val="455F7844"/>
    <w:rsid w:val="4561759E"/>
    <w:rsid w:val="456448D4"/>
    <w:rsid w:val="45651B3D"/>
    <w:rsid w:val="45656128"/>
    <w:rsid w:val="45685317"/>
    <w:rsid w:val="45717EE0"/>
    <w:rsid w:val="4572772A"/>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C27EF"/>
    <w:rsid w:val="45F13D14"/>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47F9E"/>
    <w:rsid w:val="46164CEE"/>
    <w:rsid w:val="4618043E"/>
    <w:rsid w:val="461E2AC4"/>
    <w:rsid w:val="461F7237"/>
    <w:rsid w:val="4621354D"/>
    <w:rsid w:val="4627206E"/>
    <w:rsid w:val="462B6270"/>
    <w:rsid w:val="46366B3A"/>
    <w:rsid w:val="463A40F8"/>
    <w:rsid w:val="46415BC1"/>
    <w:rsid w:val="46427394"/>
    <w:rsid w:val="46471DDC"/>
    <w:rsid w:val="46477457"/>
    <w:rsid w:val="46483D4E"/>
    <w:rsid w:val="464C5646"/>
    <w:rsid w:val="464F3C74"/>
    <w:rsid w:val="46555C66"/>
    <w:rsid w:val="465906AA"/>
    <w:rsid w:val="4659447A"/>
    <w:rsid w:val="465F65E9"/>
    <w:rsid w:val="465F67CB"/>
    <w:rsid w:val="46601F98"/>
    <w:rsid w:val="46607B66"/>
    <w:rsid w:val="46620389"/>
    <w:rsid w:val="466744A5"/>
    <w:rsid w:val="46676DEC"/>
    <w:rsid w:val="46677EBC"/>
    <w:rsid w:val="466852D6"/>
    <w:rsid w:val="466A11FB"/>
    <w:rsid w:val="466D3342"/>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76F62"/>
    <w:rsid w:val="47395CA0"/>
    <w:rsid w:val="47493D73"/>
    <w:rsid w:val="474E2477"/>
    <w:rsid w:val="474F073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B67BB"/>
    <w:rsid w:val="477C1B45"/>
    <w:rsid w:val="477F2634"/>
    <w:rsid w:val="478274A8"/>
    <w:rsid w:val="47866426"/>
    <w:rsid w:val="4788034A"/>
    <w:rsid w:val="478D02C3"/>
    <w:rsid w:val="479009E9"/>
    <w:rsid w:val="47900D8B"/>
    <w:rsid w:val="47907CAB"/>
    <w:rsid w:val="479375A2"/>
    <w:rsid w:val="47963CDC"/>
    <w:rsid w:val="47966E90"/>
    <w:rsid w:val="479C0619"/>
    <w:rsid w:val="479D41B5"/>
    <w:rsid w:val="479E033E"/>
    <w:rsid w:val="47A032BF"/>
    <w:rsid w:val="47A52877"/>
    <w:rsid w:val="47A91A7D"/>
    <w:rsid w:val="47A91F2D"/>
    <w:rsid w:val="47AF0807"/>
    <w:rsid w:val="47B816F2"/>
    <w:rsid w:val="47BA6C9F"/>
    <w:rsid w:val="47BB1F94"/>
    <w:rsid w:val="47BE0EEF"/>
    <w:rsid w:val="47BF7AA3"/>
    <w:rsid w:val="47C16645"/>
    <w:rsid w:val="47C16799"/>
    <w:rsid w:val="47C41DCA"/>
    <w:rsid w:val="47C43B0C"/>
    <w:rsid w:val="47C5531C"/>
    <w:rsid w:val="47C65AE0"/>
    <w:rsid w:val="47C71F89"/>
    <w:rsid w:val="47CD4721"/>
    <w:rsid w:val="47D10FA1"/>
    <w:rsid w:val="47D13850"/>
    <w:rsid w:val="47D253B7"/>
    <w:rsid w:val="47D51AA9"/>
    <w:rsid w:val="47DA2C5B"/>
    <w:rsid w:val="47DA4B93"/>
    <w:rsid w:val="47DC518A"/>
    <w:rsid w:val="47DC637F"/>
    <w:rsid w:val="47DD6023"/>
    <w:rsid w:val="47E74774"/>
    <w:rsid w:val="47E75779"/>
    <w:rsid w:val="47EA1824"/>
    <w:rsid w:val="47EC4143"/>
    <w:rsid w:val="47ED0A50"/>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04091"/>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4C3"/>
    <w:rsid w:val="486A4CAF"/>
    <w:rsid w:val="486A6174"/>
    <w:rsid w:val="486E7217"/>
    <w:rsid w:val="486F3974"/>
    <w:rsid w:val="486F7F36"/>
    <w:rsid w:val="4871113B"/>
    <w:rsid w:val="48724A16"/>
    <w:rsid w:val="48754442"/>
    <w:rsid w:val="4875648F"/>
    <w:rsid w:val="487B0368"/>
    <w:rsid w:val="487B1B57"/>
    <w:rsid w:val="487E01F6"/>
    <w:rsid w:val="487E1B09"/>
    <w:rsid w:val="487E5823"/>
    <w:rsid w:val="48805927"/>
    <w:rsid w:val="4880633E"/>
    <w:rsid w:val="48842DF9"/>
    <w:rsid w:val="488F0F45"/>
    <w:rsid w:val="48924A5B"/>
    <w:rsid w:val="489278D8"/>
    <w:rsid w:val="48936CD5"/>
    <w:rsid w:val="48970A4D"/>
    <w:rsid w:val="4898070A"/>
    <w:rsid w:val="489A39A9"/>
    <w:rsid w:val="489A4491"/>
    <w:rsid w:val="489E3DFA"/>
    <w:rsid w:val="489E4E62"/>
    <w:rsid w:val="489F1A32"/>
    <w:rsid w:val="48A05DE9"/>
    <w:rsid w:val="48A44435"/>
    <w:rsid w:val="48A834B0"/>
    <w:rsid w:val="48AA5CB2"/>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90306DB"/>
    <w:rsid w:val="490552AC"/>
    <w:rsid w:val="490561FE"/>
    <w:rsid w:val="49063272"/>
    <w:rsid w:val="49096626"/>
    <w:rsid w:val="490A410D"/>
    <w:rsid w:val="490B5512"/>
    <w:rsid w:val="490F09BF"/>
    <w:rsid w:val="49103B78"/>
    <w:rsid w:val="49136106"/>
    <w:rsid w:val="491A4CA2"/>
    <w:rsid w:val="491F0FD7"/>
    <w:rsid w:val="491F69AB"/>
    <w:rsid w:val="49266245"/>
    <w:rsid w:val="49282C52"/>
    <w:rsid w:val="492F5E57"/>
    <w:rsid w:val="49304FB3"/>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634DD"/>
    <w:rsid w:val="49977AD8"/>
    <w:rsid w:val="499B3DFA"/>
    <w:rsid w:val="499D69B4"/>
    <w:rsid w:val="49A212FB"/>
    <w:rsid w:val="49A64729"/>
    <w:rsid w:val="49A75D54"/>
    <w:rsid w:val="49AA1350"/>
    <w:rsid w:val="49AA6C98"/>
    <w:rsid w:val="49AB71AB"/>
    <w:rsid w:val="49AC7301"/>
    <w:rsid w:val="49AE04CC"/>
    <w:rsid w:val="49B82183"/>
    <w:rsid w:val="49B94F5E"/>
    <w:rsid w:val="49BB532D"/>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D0B3C"/>
    <w:rsid w:val="49ED5C09"/>
    <w:rsid w:val="49F200B7"/>
    <w:rsid w:val="49F250F2"/>
    <w:rsid w:val="49FE2BB0"/>
    <w:rsid w:val="49FF1285"/>
    <w:rsid w:val="4A01569D"/>
    <w:rsid w:val="4A041330"/>
    <w:rsid w:val="4A046701"/>
    <w:rsid w:val="4A0D309A"/>
    <w:rsid w:val="4A0E56DF"/>
    <w:rsid w:val="4A0F6384"/>
    <w:rsid w:val="4A1163C2"/>
    <w:rsid w:val="4A132E77"/>
    <w:rsid w:val="4A1378B1"/>
    <w:rsid w:val="4A1A43D6"/>
    <w:rsid w:val="4A1C3A9E"/>
    <w:rsid w:val="4A1C590E"/>
    <w:rsid w:val="4A1C6450"/>
    <w:rsid w:val="4A1D55F6"/>
    <w:rsid w:val="4A262134"/>
    <w:rsid w:val="4A273A5C"/>
    <w:rsid w:val="4A2740EA"/>
    <w:rsid w:val="4A2B1236"/>
    <w:rsid w:val="4A2B52DC"/>
    <w:rsid w:val="4A2C5CDA"/>
    <w:rsid w:val="4A2D674F"/>
    <w:rsid w:val="4A340A7F"/>
    <w:rsid w:val="4A3709AF"/>
    <w:rsid w:val="4A3E4AF4"/>
    <w:rsid w:val="4A3E693A"/>
    <w:rsid w:val="4A3F2E9C"/>
    <w:rsid w:val="4A410122"/>
    <w:rsid w:val="4A41015F"/>
    <w:rsid w:val="4A420254"/>
    <w:rsid w:val="4A444F7F"/>
    <w:rsid w:val="4A4B19C0"/>
    <w:rsid w:val="4A4C2DBB"/>
    <w:rsid w:val="4A514F37"/>
    <w:rsid w:val="4A542947"/>
    <w:rsid w:val="4A56569E"/>
    <w:rsid w:val="4A577A55"/>
    <w:rsid w:val="4A5A0BC1"/>
    <w:rsid w:val="4A5B1FD4"/>
    <w:rsid w:val="4A630E38"/>
    <w:rsid w:val="4A641037"/>
    <w:rsid w:val="4A655686"/>
    <w:rsid w:val="4A67536A"/>
    <w:rsid w:val="4A691878"/>
    <w:rsid w:val="4A6921E0"/>
    <w:rsid w:val="4A6A272E"/>
    <w:rsid w:val="4A6C191B"/>
    <w:rsid w:val="4A6D4C3D"/>
    <w:rsid w:val="4A6D6CE1"/>
    <w:rsid w:val="4A74186F"/>
    <w:rsid w:val="4A771048"/>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73918"/>
    <w:rsid w:val="4AAA2AE6"/>
    <w:rsid w:val="4AAA5D79"/>
    <w:rsid w:val="4AAA7340"/>
    <w:rsid w:val="4AB046B5"/>
    <w:rsid w:val="4AB21250"/>
    <w:rsid w:val="4AB226FD"/>
    <w:rsid w:val="4AB31F70"/>
    <w:rsid w:val="4AB46698"/>
    <w:rsid w:val="4AB479AD"/>
    <w:rsid w:val="4AB55DEB"/>
    <w:rsid w:val="4ABA1183"/>
    <w:rsid w:val="4ABF261E"/>
    <w:rsid w:val="4AC0663F"/>
    <w:rsid w:val="4AC43A5D"/>
    <w:rsid w:val="4AC61421"/>
    <w:rsid w:val="4ACC47B4"/>
    <w:rsid w:val="4AD12330"/>
    <w:rsid w:val="4AD2157F"/>
    <w:rsid w:val="4AD91273"/>
    <w:rsid w:val="4ADB3CBD"/>
    <w:rsid w:val="4ADC4F59"/>
    <w:rsid w:val="4ADC6DA1"/>
    <w:rsid w:val="4AE27A5C"/>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5442"/>
    <w:rsid w:val="4B264BDF"/>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752536"/>
    <w:rsid w:val="4B8274B5"/>
    <w:rsid w:val="4B87208D"/>
    <w:rsid w:val="4B8A608E"/>
    <w:rsid w:val="4B9163B2"/>
    <w:rsid w:val="4B942486"/>
    <w:rsid w:val="4B9525F3"/>
    <w:rsid w:val="4B963B79"/>
    <w:rsid w:val="4B9B629B"/>
    <w:rsid w:val="4B9C4DBC"/>
    <w:rsid w:val="4BA046F4"/>
    <w:rsid w:val="4BA33CD2"/>
    <w:rsid w:val="4BAD19E4"/>
    <w:rsid w:val="4BB02CAA"/>
    <w:rsid w:val="4BB05402"/>
    <w:rsid w:val="4BB35626"/>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7E8A"/>
    <w:rsid w:val="4C507A89"/>
    <w:rsid w:val="4C530B8A"/>
    <w:rsid w:val="4C5478B3"/>
    <w:rsid w:val="4C582A94"/>
    <w:rsid w:val="4C5A4643"/>
    <w:rsid w:val="4C5D70FF"/>
    <w:rsid w:val="4C5E6245"/>
    <w:rsid w:val="4C5F7579"/>
    <w:rsid w:val="4C6638F9"/>
    <w:rsid w:val="4C692DEC"/>
    <w:rsid w:val="4C693354"/>
    <w:rsid w:val="4C6A41F8"/>
    <w:rsid w:val="4C732A14"/>
    <w:rsid w:val="4C74726C"/>
    <w:rsid w:val="4C7475C0"/>
    <w:rsid w:val="4C76308B"/>
    <w:rsid w:val="4C772019"/>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80529"/>
    <w:rsid w:val="4CA95ACA"/>
    <w:rsid w:val="4CAC4E3B"/>
    <w:rsid w:val="4CAD6B9D"/>
    <w:rsid w:val="4CAF3008"/>
    <w:rsid w:val="4CB31902"/>
    <w:rsid w:val="4CB80FA8"/>
    <w:rsid w:val="4CB82D1C"/>
    <w:rsid w:val="4CC557AA"/>
    <w:rsid w:val="4CC66C63"/>
    <w:rsid w:val="4CC712C2"/>
    <w:rsid w:val="4CC74EAD"/>
    <w:rsid w:val="4CC92C07"/>
    <w:rsid w:val="4CCA3565"/>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C76C5"/>
    <w:rsid w:val="4CEF1BB6"/>
    <w:rsid w:val="4CEF4F4B"/>
    <w:rsid w:val="4CF22C55"/>
    <w:rsid w:val="4CF3294D"/>
    <w:rsid w:val="4CF541C0"/>
    <w:rsid w:val="4CF82009"/>
    <w:rsid w:val="4CF93797"/>
    <w:rsid w:val="4CFC7B65"/>
    <w:rsid w:val="4D066CD8"/>
    <w:rsid w:val="4D087332"/>
    <w:rsid w:val="4D101B13"/>
    <w:rsid w:val="4D106377"/>
    <w:rsid w:val="4D1C6EBE"/>
    <w:rsid w:val="4D217D2E"/>
    <w:rsid w:val="4D24678E"/>
    <w:rsid w:val="4D250901"/>
    <w:rsid w:val="4D263863"/>
    <w:rsid w:val="4D3638B0"/>
    <w:rsid w:val="4D374745"/>
    <w:rsid w:val="4D3B1ED9"/>
    <w:rsid w:val="4D3C1316"/>
    <w:rsid w:val="4D3F4038"/>
    <w:rsid w:val="4D3F47CB"/>
    <w:rsid w:val="4D4312A1"/>
    <w:rsid w:val="4D49083B"/>
    <w:rsid w:val="4D495887"/>
    <w:rsid w:val="4D4B467D"/>
    <w:rsid w:val="4D4F1DCA"/>
    <w:rsid w:val="4D511A34"/>
    <w:rsid w:val="4D52336C"/>
    <w:rsid w:val="4D550694"/>
    <w:rsid w:val="4D5579DF"/>
    <w:rsid w:val="4D586D2F"/>
    <w:rsid w:val="4D5A697D"/>
    <w:rsid w:val="4D630E97"/>
    <w:rsid w:val="4D637C98"/>
    <w:rsid w:val="4D6928E6"/>
    <w:rsid w:val="4D6E710B"/>
    <w:rsid w:val="4D711DB3"/>
    <w:rsid w:val="4D7210F8"/>
    <w:rsid w:val="4D76024F"/>
    <w:rsid w:val="4D771C1B"/>
    <w:rsid w:val="4D787499"/>
    <w:rsid w:val="4D79052A"/>
    <w:rsid w:val="4D7C0C8B"/>
    <w:rsid w:val="4D7D22CA"/>
    <w:rsid w:val="4D7F0AD9"/>
    <w:rsid w:val="4D804C49"/>
    <w:rsid w:val="4D825FC2"/>
    <w:rsid w:val="4D841AA7"/>
    <w:rsid w:val="4D865ACB"/>
    <w:rsid w:val="4D897ECE"/>
    <w:rsid w:val="4D907F59"/>
    <w:rsid w:val="4D982B0B"/>
    <w:rsid w:val="4D985344"/>
    <w:rsid w:val="4D9971E4"/>
    <w:rsid w:val="4D9C521F"/>
    <w:rsid w:val="4D9D0CE9"/>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D3F76"/>
    <w:rsid w:val="4DEF78E7"/>
    <w:rsid w:val="4DF1687F"/>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36074"/>
    <w:rsid w:val="4E6513FF"/>
    <w:rsid w:val="4E674053"/>
    <w:rsid w:val="4E675F70"/>
    <w:rsid w:val="4E6E4F97"/>
    <w:rsid w:val="4E6E7E71"/>
    <w:rsid w:val="4E726A45"/>
    <w:rsid w:val="4E757F3D"/>
    <w:rsid w:val="4E76768A"/>
    <w:rsid w:val="4E796826"/>
    <w:rsid w:val="4E7A59AA"/>
    <w:rsid w:val="4E7B1EFA"/>
    <w:rsid w:val="4E7F631A"/>
    <w:rsid w:val="4E803688"/>
    <w:rsid w:val="4E8501F4"/>
    <w:rsid w:val="4E877B7D"/>
    <w:rsid w:val="4E8B484E"/>
    <w:rsid w:val="4E8C7C67"/>
    <w:rsid w:val="4E8F574C"/>
    <w:rsid w:val="4E945B57"/>
    <w:rsid w:val="4E9552B2"/>
    <w:rsid w:val="4E96377F"/>
    <w:rsid w:val="4E963B08"/>
    <w:rsid w:val="4E9A697F"/>
    <w:rsid w:val="4E9B0120"/>
    <w:rsid w:val="4E9B22A4"/>
    <w:rsid w:val="4EA17AF0"/>
    <w:rsid w:val="4EA23511"/>
    <w:rsid w:val="4EA60DCF"/>
    <w:rsid w:val="4EAB4478"/>
    <w:rsid w:val="4EAE66AD"/>
    <w:rsid w:val="4EB37091"/>
    <w:rsid w:val="4EB447B6"/>
    <w:rsid w:val="4EB536C3"/>
    <w:rsid w:val="4EB605FE"/>
    <w:rsid w:val="4EB75178"/>
    <w:rsid w:val="4EB93ECB"/>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A503C"/>
    <w:rsid w:val="4EED6DDC"/>
    <w:rsid w:val="4EEE0966"/>
    <w:rsid w:val="4EF6134A"/>
    <w:rsid w:val="4EFA17CF"/>
    <w:rsid w:val="4EFB15E5"/>
    <w:rsid w:val="4EFB36F3"/>
    <w:rsid w:val="4EFD2395"/>
    <w:rsid w:val="4EFE0992"/>
    <w:rsid w:val="4EFE65FF"/>
    <w:rsid w:val="4F03368A"/>
    <w:rsid w:val="4F065567"/>
    <w:rsid w:val="4F093B54"/>
    <w:rsid w:val="4F0D046D"/>
    <w:rsid w:val="4F120F1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D0ED8"/>
    <w:rsid w:val="4F5F0CAB"/>
    <w:rsid w:val="4F647CDB"/>
    <w:rsid w:val="4F660092"/>
    <w:rsid w:val="4F662DA5"/>
    <w:rsid w:val="4F712201"/>
    <w:rsid w:val="4F7146F9"/>
    <w:rsid w:val="4F742E4E"/>
    <w:rsid w:val="4F776067"/>
    <w:rsid w:val="4F790FA5"/>
    <w:rsid w:val="4F7D13D7"/>
    <w:rsid w:val="4F7E40D3"/>
    <w:rsid w:val="4F80447D"/>
    <w:rsid w:val="4F85060B"/>
    <w:rsid w:val="4F85181E"/>
    <w:rsid w:val="4F8E127B"/>
    <w:rsid w:val="4F8F33EA"/>
    <w:rsid w:val="4F972699"/>
    <w:rsid w:val="4F9A1B4B"/>
    <w:rsid w:val="4F9B1494"/>
    <w:rsid w:val="4F9C2A1E"/>
    <w:rsid w:val="4F9C5BE3"/>
    <w:rsid w:val="4F9F04B7"/>
    <w:rsid w:val="4FA04CA9"/>
    <w:rsid w:val="4FA252ED"/>
    <w:rsid w:val="4FA44478"/>
    <w:rsid w:val="4FA5543B"/>
    <w:rsid w:val="4FA77A5C"/>
    <w:rsid w:val="4FA97ADE"/>
    <w:rsid w:val="4FAF5270"/>
    <w:rsid w:val="4FB3361B"/>
    <w:rsid w:val="4FB47486"/>
    <w:rsid w:val="4FB64A96"/>
    <w:rsid w:val="4FB679CE"/>
    <w:rsid w:val="4FB8023D"/>
    <w:rsid w:val="4FC02E4C"/>
    <w:rsid w:val="4FCB690A"/>
    <w:rsid w:val="4FCD7044"/>
    <w:rsid w:val="4FCD7CBD"/>
    <w:rsid w:val="4FCE1FF1"/>
    <w:rsid w:val="4FD2647C"/>
    <w:rsid w:val="4FD33836"/>
    <w:rsid w:val="4FD37289"/>
    <w:rsid w:val="4FD42527"/>
    <w:rsid w:val="4FD77A94"/>
    <w:rsid w:val="4FD86132"/>
    <w:rsid w:val="4FD8690E"/>
    <w:rsid w:val="4FDA1F3F"/>
    <w:rsid w:val="4FDA39C6"/>
    <w:rsid w:val="4FDA432A"/>
    <w:rsid w:val="4FDB0A3B"/>
    <w:rsid w:val="4FDC1840"/>
    <w:rsid w:val="4FDC4A0C"/>
    <w:rsid w:val="4FDC7BE8"/>
    <w:rsid w:val="4FE2157F"/>
    <w:rsid w:val="4FE36ECF"/>
    <w:rsid w:val="4FEA45AF"/>
    <w:rsid w:val="4FEA6AF9"/>
    <w:rsid w:val="4FEE0B89"/>
    <w:rsid w:val="4FEE0C77"/>
    <w:rsid w:val="4FEE309D"/>
    <w:rsid w:val="4FEE5CF9"/>
    <w:rsid w:val="4FF31FB7"/>
    <w:rsid w:val="4FF33178"/>
    <w:rsid w:val="4FFA5761"/>
    <w:rsid w:val="4FFE5B72"/>
    <w:rsid w:val="4FFF6DB7"/>
    <w:rsid w:val="50031BDA"/>
    <w:rsid w:val="50066EF8"/>
    <w:rsid w:val="500E557F"/>
    <w:rsid w:val="500E7233"/>
    <w:rsid w:val="50123BC0"/>
    <w:rsid w:val="50125B57"/>
    <w:rsid w:val="5017246C"/>
    <w:rsid w:val="50207DDF"/>
    <w:rsid w:val="502136BD"/>
    <w:rsid w:val="50215327"/>
    <w:rsid w:val="50244740"/>
    <w:rsid w:val="50250F5E"/>
    <w:rsid w:val="5026744D"/>
    <w:rsid w:val="502D16C0"/>
    <w:rsid w:val="502E32D4"/>
    <w:rsid w:val="502E73A8"/>
    <w:rsid w:val="503214CD"/>
    <w:rsid w:val="50334724"/>
    <w:rsid w:val="503857C8"/>
    <w:rsid w:val="503B1028"/>
    <w:rsid w:val="503B5860"/>
    <w:rsid w:val="50405853"/>
    <w:rsid w:val="50430A95"/>
    <w:rsid w:val="504310BB"/>
    <w:rsid w:val="50447585"/>
    <w:rsid w:val="504644C2"/>
    <w:rsid w:val="5048026F"/>
    <w:rsid w:val="50484ED7"/>
    <w:rsid w:val="50485A9C"/>
    <w:rsid w:val="504B2CFC"/>
    <w:rsid w:val="504C14C5"/>
    <w:rsid w:val="504F02F2"/>
    <w:rsid w:val="505646FF"/>
    <w:rsid w:val="50572C71"/>
    <w:rsid w:val="505A2719"/>
    <w:rsid w:val="505C750B"/>
    <w:rsid w:val="505E418F"/>
    <w:rsid w:val="505F092A"/>
    <w:rsid w:val="505F266B"/>
    <w:rsid w:val="50643BE5"/>
    <w:rsid w:val="50656B40"/>
    <w:rsid w:val="506955B5"/>
    <w:rsid w:val="506A0FF8"/>
    <w:rsid w:val="506B057F"/>
    <w:rsid w:val="506C7759"/>
    <w:rsid w:val="506E0FE5"/>
    <w:rsid w:val="506F3D00"/>
    <w:rsid w:val="506F77D8"/>
    <w:rsid w:val="507563CE"/>
    <w:rsid w:val="50810DAC"/>
    <w:rsid w:val="508868BC"/>
    <w:rsid w:val="508B3B33"/>
    <w:rsid w:val="508C0872"/>
    <w:rsid w:val="508C5F53"/>
    <w:rsid w:val="508D5BAF"/>
    <w:rsid w:val="508F25F0"/>
    <w:rsid w:val="509137E7"/>
    <w:rsid w:val="50967108"/>
    <w:rsid w:val="50983FF4"/>
    <w:rsid w:val="50990C21"/>
    <w:rsid w:val="509C08E7"/>
    <w:rsid w:val="509D5828"/>
    <w:rsid w:val="509E0DEA"/>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3544"/>
    <w:rsid w:val="50CB601A"/>
    <w:rsid w:val="50CE351A"/>
    <w:rsid w:val="50D011A7"/>
    <w:rsid w:val="50D06815"/>
    <w:rsid w:val="50D06E97"/>
    <w:rsid w:val="50D2253B"/>
    <w:rsid w:val="50D36047"/>
    <w:rsid w:val="50DB38DA"/>
    <w:rsid w:val="50DC497A"/>
    <w:rsid w:val="50DE644E"/>
    <w:rsid w:val="50DF0BD5"/>
    <w:rsid w:val="50E2218F"/>
    <w:rsid w:val="50E51CD3"/>
    <w:rsid w:val="50E9548C"/>
    <w:rsid w:val="50E97079"/>
    <w:rsid w:val="50EC201D"/>
    <w:rsid w:val="50F524CD"/>
    <w:rsid w:val="50F74EA9"/>
    <w:rsid w:val="50F94ABA"/>
    <w:rsid w:val="50FB18C7"/>
    <w:rsid w:val="50FD6FAB"/>
    <w:rsid w:val="51022B6D"/>
    <w:rsid w:val="510A6156"/>
    <w:rsid w:val="511164A6"/>
    <w:rsid w:val="51147954"/>
    <w:rsid w:val="51150341"/>
    <w:rsid w:val="511928E6"/>
    <w:rsid w:val="51193A2B"/>
    <w:rsid w:val="511950BF"/>
    <w:rsid w:val="51203A4C"/>
    <w:rsid w:val="51206D5E"/>
    <w:rsid w:val="51210D0D"/>
    <w:rsid w:val="51214078"/>
    <w:rsid w:val="51224563"/>
    <w:rsid w:val="512C4A52"/>
    <w:rsid w:val="512C7722"/>
    <w:rsid w:val="512F0A94"/>
    <w:rsid w:val="5133221E"/>
    <w:rsid w:val="513641A3"/>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C124E"/>
    <w:rsid w:val="51607F5A"/>
    <w:rsid w:val="51654D70"/>
    <w:rsid w:val="51657022"/>
    <w:rsid w:val="516A5786"/>
    <w:rsid w:val="516B561D"/>
    <w:rsid w:val="516D6150"/>
    <w:rsid w:val="516E3ACC"/>
    <w:rsid w:val="517866A1"/>
    <w:rsid w:val="517F341F"/>
    <w:rsid w:val="517F7491"/>
    <w:rsid w:val="51807A8C"/>
    <w:rsid w:val="518202BE"/>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96748"/>
    <w:rsid w:val="51FA113F"/>
    <w:rsid w:val="51FB4BA3"/>
    <w:rsid w:val="51FB641B"/>
    <w:rsid w:val="51FB74CE"/>
    <w:rsid w:val="52000764"/>
    <w:rsid w:val="52012473"/>
    <w:rsid w:val="52022AE3"/>
    <w:rsid w:val="520424E3"/>
    <w:rsid w:val="520C5919"/>
    <w:rsid w:val="521029CD"/>
    <w:rsid w:val="52174497"/>
    <w:rsid w:val="5217477E"/>
    <w:rsid w:val="5219293E"/>
    <w:rsid w:val="521E30A6"/>
    <w:rsid w:val="52237B17"/>
    <w:rsid w:val="52252AE8"/>
    <w:rsid w:val="52264041"/>
    <w:rsid w:val="52266ADC"/>
    <w:rsid w:val="52277C15"/>
    <w:rsid w:val="522C5C38"/>
    <w:rsid w:val="52313A50"/>
    <w:rsid w:val="52370865"/>
    <w:rsid w:val="523A0031"/>
    <w:rsid w:val="523B7D12"/>
    <w:rsid w:val="523D58A7"/>
    <w:rsid w:val="523E2195"/>
    <w:rsid w:val="52403FAA"/>
    <w:rsid w:val="524A3580"/>
    <w:rsid w:val="524D6857"/>
    <w:rsid w:val="524F0252"/>
    <w:rsid w:val="524F31F4"/>
    <w:rsid w:val="52503503"/>
    <w:rsid w:val="52520744"/>
    <w:rsid w:val="525273BE"/>
    <w:rsid w:val="52527B51"/>
    <w:rsid w:val="52562230"/>
    <w:rsid w:val="52562525"/>
    <w:rsid w:val="52570256"/>
    <w:rsid w:val="525A2413"/>
    <w:rsid w:val="525B059F"/>
    <w:rsid w:val="525C611C"/>
    <w:rsid w:val="525E56B4"/>
    <w:rsid w:val="52621CB1"/>
    <w:rsid w:val="52627E1B"/>
    <w:rsid w:val="52633CA7"/>
    <w:rsid w:val="52652EC9"/>
    <w:rsid w:val="5269245E"/>
    <w:rsid w:val="526A17EE"/>
    <w:rsid w:val="526B23D7"/>
    <w:rsid w:val="526F5FD4"/>
    <w:rsid w:val="526F7A4D"/>
    <w:rsid w:val="52733D7E"/>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E0060"/>
    <w:rsid w:val="52AE23D0"/>
    <w:rsid w:val="52B07167"/>
    <w:rsid w:val="52B338D5"/>
    <w:rsid w:val="52B4295C"/>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804F5"/>
    <w:rsid w:val="53156828"/>
    <w:rsid w:val="53171F42"/>
    <w:rsid w:val="531815D1"/>
    <w:rsid w:val="53191790"/>
    <w:rsid w:val="532141FF"/>
    <w:rsid w:val="53250E5A"/>
    <w:rsid w:val="532D7558"/>
    <w:rsid w:val="53330E1B"/>
    <w:rsid w:val="533415A7"/>
    <w:rsid w:val="53361B65"/>
    <w:rsid w:val="5337599F"/>
    <w:rsid w:val="533925A8"/>
    <w:rsid w:val="533A3177"/>
    <w:rsid w:val="533A419E"/>
    <w:rsid w:val="533B4395"/>
    <w:rsid w:val="533B694C"/>
    <w:rsid w:val="533C64EE"/>
    <w:rsid w:val="533D0A90"/>
    <w:rsid w:val="534167F7"/>
    <w:rsid w:val="534B281D"/>
    <w:rsid w:val="534E0588"/>
    <w:rsid w:val="534E14C3"/>
    <w:rsid w:val="534E1808"/>
    <w:rsid w:val="534E2E4B"/>
    <w:rsid w:val="535024FB"/>
    <w:rsid w:val="53506847"/>
    <w:rsid w:val="535248FD"/>
    <w:rsid w:val="53533D68"/>
    <w:rsid w:val="53575653"/>
    <w:rsid w:val="535B4DEE"/>
    <w:rsid w:val="535B4FB0"/>
    <w:rsid w:val="535E4319"/>
    <w:rsid w:val="535F57B9"/>
    <w:rsid w:val="53601E32"/>
    <w:rsid w:val="53625C7F"/>
    <w:rsid w:val="53635CA1"/>
    <w:rsid w:val="53640E00"/>
    <w:rsid w:val="536821FB"/>
    <w:rsid w:val="536B57C4"/>
    <w:rsid w:val="536F7331"/>
    <w:rsid w:val="53706FF3"/>
    <w:rsid w:val="537417A0"/>
    <w:rsid w:val="53756BE9"/>
    <w:rsid w:val="53757AC1"/>
    <w:rsid w:val="53775D9B"/>
    <w:rsid w:val="537C310C"/>
    <w:rsid w:val="537C7CD0"/>
    <w:rsid w:val="537D2A29"/>
    <w:rsid w:val="5387233B"/>
    <w:rsid w:val="538A5A72"/>
    <w:rsid w:val="53943EC5"/>
    <w:rsid w:val="53984DAD"/>
    <w:rsid w:val="53A25708"/>
    <w:rsid w:val="53A75B4F"/>
    <w:rsid w:val="53AE15FC"/>
    <w:rsid w:val="53AE7E6C"/>
    <w:rsid w:val="53B16BD1"/>
    <w:rsid w:val="53B20987"/>
    <w:rsid w:val="53B338B4"/>
    <w:rsid w:val="53B44C3A"/>
    <w:rsid w:val="53B61EB6"/>
    <w:rsid w:val="53B826B3"/>
    <w:rsid w:val="53BE5FB8"/>
    <w:rsid w:val="53C13E09"/>
    <w:rsid w:val="53C337EA"/>
    <w:rsid w:val="53C555F4"/>
    <w:rsid w:val="53C929FE"/>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305C"/>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0F411C"/>
    <w:rsid w:val="54100828"/>
    <w:rsid w:val="541068A8"/>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303C0B"/>
    <w:rsid w:val="543122D2"/>
    <w:rsid w:val="54321B74"/>
    <w:rsid w:val="543436FD"/>
    <w:rsid w:val="543E1E60"/>
    <w:rsid w:val="54467085"/>
    <w:rsid w:val="544A2BF4"/>
    <w:rsid w:val="544A3898"/>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74451"/>
    <w:rsid w:val="547875EC"/>
    <w:rsid w:val="547A7FD7"/>
    <w:rsid w:val="547C4966"/>
    <w:rsid w:val="54826042"/>
    <w:rsid w:val="548411DA"/>
    <w:rsid w:val="54886E06"/>
    <w:rsid w:val="54914D41"/>
    <w:rsid w:val="54920771"/>
    <w:rsid w:val="54932A6C"/>
    <w:rsid w:val="5494549D"/>
    <w:rsid w:val="54967BA1"/>
    <w:rsid w:val="549A1F66"/>
    <w:rsid w:val="549B7E6E"/>
    <w:rsid w:val="549E7A75"/>
    <w:rsid w:val="54A173FF"/>
    <w:rsid w:val="54A232C4"/>
    <w:rsid w:val="54A52DAC"/>
    <w:rsid w:val="54A85DC9"/>
    <w:rsid w:val="54A9725A"/>
    <w:rsid w:val="54AA464A"/>
    <w:rsid w:val="54AB0EBA"/>
    <w:rsid w:val="54AB3880"/>
    <w:rsid w:val="54AB6DDE"/>
    <w:rsid w:val="54AC7A3F"/>
    <w:rsid w:val="54B0008E"/>
    <w:rsid w:val="54B459FE"/>
    <w:rsid w:val="54B87EE8"/>
    <w:rsid w:val="54BB62AF"/>
    <w:rsid w:val="54C12AB8"/>
    <w:rsid w:val="54C40DFB"/>
    <w:rsid w:val="54C9247D"/>
    <w:rsid w:val="54D07229"/>
    <w:rsid w:val="54D12555"/>
    <w:rsid w:val="54D7147E"/>
    <w:rsid w:val="54D76493"/>
    <w:rsid w:val="54E07D26"/>
    <w:rsid w:val="54E4148C"/>
    <w:rsid w:val="54E43891"/>
    <w:rsid w:val="54E6558E"/>
    <w:rsid w:val="54F175CD"/>
    <w:rsid w:val="54F343A4"/>
    <w:rsid w:val="54F67BEE"/>
    <w:rsid w:val="54F7631A"/>
    <w:rsid w:val="54F824D3"/>
    <w:rsid w:val="54F86EE6"/>
    <w:rsid w:val="54FB5A98"/>
    <w:rsid w:val="54FC3C9C"/>
    <w:rsid w:val="54FE08CB"/>
    <w:rsid w:val="55034C00"/>
    <w:rsid w:val="55062CDB"/>
    <w:rsid w:val="5507222B"/>
    <w:rsid w:val="55091B14"/>
    <w:rsid w:val="550E4252"/>
    <w:rsid w:val="55122499"/>
    <w:rsid w:val="55130C37"/>
    <w:rsid w:val="551B0882"/>
    <w:rsid w:val="551B468C"/>
    <w:rsid w:val="551D4DCA"/>
    <w:rsid w:val="5520580C"/>
    <w:rsid w:val="55221097"/>
    <w:rsid w:val="5522645E"/>
    <w:rsid w:val="552267B7"/>
    <w:rsid w:val="55226E66"/>
    <w:rsid w:val="55232C30"/>
    <w:rsid w:val="55235DB1"/>
    <w:rsid w:val="55242FED"/>
    <w:rsid w:val="55262EE3"/>
    <w:rsid w:val="552B6E5C"/>
    <w:rsid w:val="552E5209"/>
    <w:rsid w:val="552F1C26"/>
    <w:rsid w:val="5530358A"/>
    <w:rsid w:val="553327BD"/>
    <w:rsid w:val="55334B80"/>
    <w:rsid w:val="55335238"/>
    <w:rsid w:val="553437FD"/>
    <w:rsid w:val="553A3040"/>
    <w:rsid w:val="553E2EF0"/>
    <w:rsid w:val="553E5310"/>
    <w:rsid w:val="5544709D"/>
    <w:rsid w:val="55461926"/>
    <w:rsid w:val="55470886"/>
    <w:rsid w:val="554B4ABB"/>
    <w:rsid w:val="554F2510"/>
    <w:rsid w:val="55523180"/>
    <w:rsid w:val="55561D87"/>
    <w:rsid w:val="5557130C"/>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9F1AAC"/>
    <w:rsid w:val="55A133CC"/>
    <w:rsid w:val="55A31409"/>
    <w:rsid w:val="55A36356"/>
    <w:rsid w:val="55A604EE"/>
    <w:rsid w:val="55A66116"/>
    <w:rsid w:val="55A723CA"/>
    <w:rsid w:val="55A87D5E"/>
    <w:rsid w:val="55AC0F5D"/>
    <w:rsid w:val="55B072B7"/>
    <w:rsid w:val="55B13F9B"/>
    <w:rsid w:val="55B20525"/>
    <w:rsid w:val="55B445ED"/>
    <w:rsid w:val="55BA390D"/>
    <w:rsid w:val="55BC4336"/>
    <w:rsid w:val="55C03EC0"/>
    <w:rsid w:val="55C5331D"/>
    <w:rsid w:val="55C72ED4"/>
    <w:rsid w:val="55CE6EFA"/>
    <w:rsid w:val="55D14AE6"/>
    <w:rsid w:val="55D23BC7"/>
    <w:rsid w:val="55D25DF3"/>
    <w:rsid w:val="55D93B21"/>
    <w:rsid w:val="55DB2D18"/>
    <w:rsid w:val="55DB2E3C"/>
    <w:rsid w:val="55DD6D30"/>
    <w:rsid w:val="55DE3541"/>
    <w:rsid w:val="55E04D8F"/>
    <w:rsid w:val="55E205EA"/>
    <w:rsid w:val="55E379D4"/>
    <w:rsid w:val="55E509CD"/>
    <w:rsid w:val="55E66DC8"/>
    <w:rsid w:val="55E814AB"/>
    <w:rsid w:val="55EE2B25"/>
    <w:rsid w:val="55F17F10"/>
    <w:rsid w:val="55F41000"/>
    <w:rsid w:val="55F81126"/>
    <w:rsid w:val="55F875D7"/>
    <w:rsid w:val="55F91145"/>
    <w:rsid w:val="55F9253B"/>
    <w:rsid w:val="55FB397C"/>
    <w:rsid w:val="55FC4A00"/>
    <w:rsid w:val="56002F8C"/>
    <w:rsid w:val="56034097"/>
    <w:rsid w:val="560516BA"/>
    <w:rsid w:val="56056413"/>
    <w:rsid w:val="56066F9E"/>
    <w:rsid w:val="56090EF7"/>
    <w:rsid w:val="560D10DF"/>
    <w:rsid w:val="561331A8"/>
    <w:rsid w:val="5614329F"/>
    <w:rsid w:val="56151767"/>
    <w:rsid w:val="561608E6"/>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6427B"/>
    <w:rsid w:val="564F61E7"/>
    <w:rsid w:val="56506214"/>
    <w:rsid w:val="56580AE1"/>
    <w:rsid w:val="565A0E31"/>
    <w:rsid w:val="565B24AC"/>
    <w:rsid w:val="565C14D2"/>
    <w:rsid w:val="565D6A95"/>
    <w:rsid w:val="565F2A28"/>
    <w:rsid w:val="56630538"/>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9070CA"/>
    <w:rsid w:val="56926B98"/>
    <w:rsid w:val="56933E01"/>
    <w:rsid w:val="569421E3"/>
    <w:rsid w:val="56980512"/>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F77B4"/>
    <w:rsid w:val="56E2081E"/>
    <w:rsid w:val="56E36F48"/>
    <w:rsid w:val="56E5767C"/>
    <w:rsid w:val="56E648E4"/>
    <w:rsid w:val="56E652DE"/>
    <w:rsid w:val="56E81668"/>
    <w:rsid w:val="56E8331F"/>
    <w:rsid w:val="56EA2472"/>
    <w:rsid w:val="56EB4108"/>
    <w:rsid w:val="56EC2944"/>
    <w:rsid w:val="56F35790"/>
    <w:rsid w:val="56F56FF9"/>
    <w:rsid w:val="56F60276"/>
    <w:rsid w:val="56FA61AE"/>
    <w:rsid w:val="56FD08DB"/>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75E65"/>
    <w:rsid w:val="57181A0B"/>
    <w:rsid w:val="571869DB"/>
    <w:rsid w:val="571C03EA"/>
    <w:rsid w:val="571E0A33"/>
    <w:rsid w:val="572312DA"/>
    <w:rsid w:val="572367FC"/>
    <w:rsid w:val="572467F4"/>
    <w:rsid w:val="57264C89"/>
    <w:rsid w:val="57265206"/>
    <w:rsid w:val="57285CAB"/>
    <w:rsid w:val="57286DC0"/>
    <w:rsid w:val="572A7581"/>
    <w:rsid w:val="572B5180"/>
    <w:rsid w:val="57337061"/>
    <w:rsid w:val="573523E1"/>
    <w:rsid w:val="573716CC"/>
    <w:rsid w:val="57386CDB"/>
    <w:rsid w:val="573A66F8"/>
    <w:rsid w:val="574250EB"/>
    <w:rsid w:val="574855DD"/>
    <w:rsid w:val="574F7C98"/>
    <w:rsid w:val="57521BC7"/>
    <w:rsid w:val="57523751"/>
    <w:rsid w:val="57531B0E"/>
    <w:rsid w:val="5754101B"/>
    <w:rsid w:val="575754C0"/>
    <w:rsid w:val="5768048A"/>
    <w:rsid w:val="57682A3F"/>
    <w:rsid w:val="57683732"/>
    <w:rsid w:val="57694E21"/>
    <w:rsid w:val="576F7461"/>
    <w:rsid w:val="57711AA5"/>
    <w:rsid w:val="57726BDE"/>
    <w:rsid w:val="57731AEA"/>
    <w:rsid w:val="57786781"/>
    <w:rsid w:val="577878E5"/>
    <w:rsid w:val="578215E2"/>
    <w:rsid w:val="57844DD3"/>
    <w:rsid w:val="57846C64"/>
    <w:rsid w:val="57850884"/>
    <w:rsid w:val="57880A24"/>
    <w:rsid w:val="57886F7A"/>
    <w:rsid w:val="578A09CD"/>
    <w:rsid w:val="578F4641"/>
    <w:rsid w:val="57910ED9"/>
    <w:rsid w:val="5792558C"/>
    <w:rsid w:val="579665BA"/>
    <w:rsid w:val="57967D6A"/>
    <w:rsid w:val="57996DF4"/>
    <w:rsid w:val="579A088D"/>
    <w:rsid w:val="579A58FB"/>
    <w:rsid w:val="579B4A41"/>
    <w:rsid w:val="579E2DF5"/>
    <w:rsid w:val="57A0381C"/>
    <w:rsid w:val="57AB679F"/>
    <w:rsid w:val="57AD3521"/>
    <w:rsid w:val="57B168C0"/>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E056CD"/>
    <w:rsid w:val="57E41B18"/>
    <w:rsid w:val="57E725A9"/>
    <w:rsid w:val="57EA2D2A"/>
    <w:rsid w:val="57ED53D8"/>
    <w:rsid w:val="57F511EE"/>
    <w:rsid w:val="57F7131C"/>
    <w:rsid w:val="57FB0D76"/>
    <w:rsid w:val="57FC314B"/>
    <w:rsid w:val="57FD7FED"/>
    <w:rsid w:val="58015BBA"/>
    <w:rsid w:val="580837D8"/>
    <w:rsid w:val="580A106C"/>
    <w:rsid w:val="580D3476"/>
    <w:rsid w:val="581434FD"/>
    <w:rsid w:val="58182AFC"/>
    <w:rsid w:val="581973D0"/>
    <w:rsid w:val="581B206F"/>
    <w:rsid w:val="581C0AA4"/>
    <w:rsid w:val="581F33A6"/>
    <w:rsid w:val="581F6999"/>
    <w:rsid w:val="58215776"/>
    <w:rsid w:val="58236414"/>
    <w:rsid w:val="582434CB"/>
    <w:rsid w:val="582723EC"/>
    <w:rsid w:val="582B15E4"/>
    <w:rsid w:val="582B2B87"/>
    <w:rsid w:val="582E142E"/>
    <w:rsid w:val="582F5013"/>
    <w:rsid w:val="582F73A1"/>
    <w:rsid w:val="583536D4"/>
    <w:rsid w:val="583B789A"/>
    <w:rsid w:val="58447A71"/>
    <w:rsid w:val="5846445D"/>
    <w:rsid w:val="584E6385"/>
    <w:rsid w:val="585130D5"/>
    <w:rsid w:val="58517AD3"/>
    <w:rsid w:val="585551F6"/>
    <w:rsid w:val="58572198"/>
    <w:rsid w:val="58573326"/>
    <w:rsid w:val="585C1634"/>
    <w:rsid w:val="585C7971"/>
    <w:rsid w:val="58620598"/>
    <w:rsid w:val="58625DEE"/>
    <w:rsid w:val="586533A9"/>
    <w:rsid w:val="58666BFB"/>
    <w:rsid w:val="586B28CE"/>
    <w:rsid w:val="586B5656"/>
    <w:rsid w:val="586B6BF4"/>
    <w:rsid w:val="586E1E9E"/>
    <w:rsid w:val="586F7795"/>
    <w:rsid w:val="5873474E"/>
    <w:rsid w:val="587458DB"/>
    <w:rsid w:val="587826B3"/>
    <w:rsid w:val="58804EBA"/>
    <w:rsid w:val="588070D2"/>
    <w:rsid w:val="58852F67"/>
    <w:rsid w:val="58853FDA"/>
    <w:rsid w:val="58865E6F"/>
    <w:rsid w:val="58875C1C"/>
    <w:rsid w:val="588C09D4"/>
    <w:rsid w:val="588C2C33"/>
    <w:rsid w:val="58916C59"/>
    <w:rsid w:val="58960B7D"/>
    <w:rsid w:val="589B3211"/>
    <w:rsid w:val="589E692D"/>
    <w:rsid w:val="58A0799B"/>
    <w:rsid w:val="58A12689"/>
    <w:rsid w:val="58AA0C2B"/>
    <w:rsid w:val="58AA65C0"/>
    <w:rsid w:val="58AA79AE"/>
    <w:rsid w:val="58AB275F"/>
    <w:rsid w:val="58AC6751"/>
    <w:rsid w:val="58AC679C"/>
    <w:rsid w:val="58B12082"/>
    <w:rsid w:val="58B3311E"/>
    <w:rsid w:val="58B34F73"/>
    <w:rsid w:val="58B44B06"/>
    <w:rsid w:val="58B5752E"/>
    <w:rsid w:val="58B7361A"/>
    <w:rsid w:val="58B86A7D"/>
    <w:rsid w:val="58B9473E"/>
    <w:rsid w:val="58BA1C27"/>
    <w:rsid w:val="58BD4597"/>
    <w:rsid w:val="58BD754C"/>
    <w:rsid w:val="58BE19D5"/>
    <w:rsid w:val="58C36122"/>
    <w:rsid w:val="58C3707C"/>
    <w:rsid w:val="58C40981"/>
    <w:rsid w:val="58C575EF"/>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56DA5"/>
    <w:rsid w:val="58F8055F"/>
    <w:rsid w:val="58FA0518"/>
    <w:rsid w:val="58FB01F9"/>
    <w:rsid w:val="58FE0F2E"/>
    <w:rsid w:val="58FF49AB"/>
    <w:rsid w:val="590327D9"/>
    <w:rsid w:val="590D32D2"/>
    <w:rsid w:val="59107996"/>
    <w:rsid w:val="59117950"/>
    <w:rsid w:val="5912120B"/>
    <w:rsid w:val="59134D7D"/>
    <w:rsid w:val="591731D9"/>
    <w:rsid w:val="591A7C93"/>
    <w:rsid w:val="591D0F60"/>
    <w:rsid w:val="591D7605"/>
    <w:rsid w:val="5920508B"/>
    <w:rsid w:val="592160CA"/>
    <w:rsid w:val="592177FC"/>
    <w:rsid w:val="592311F8"/>
    <w:rsid w:val="5923264B"/>
    <w:rsid w:val="592710AA"/>
    <w:rsid w:val="5928478A"/>
    <w:rsid w:val="592A58F5"/>
    <w:rsid w:val="592D4121"/>
    <w:rsid w:val="592D59DC"/>
    <w:rsid w:val="593410DD"/>
    <w:rsid w:val="5934381D"/>
    <w:rsid w:val="59353C5C"/>
    <w:rsid w:val="5936551A"/>
    <w:rsid w:val="59381EDE"/>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07E5"/>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23BA3"/>
    <w:rsid w:val="59B319F0"/>
    <w:rsid w:val="59B55F44"/>
    <w:rsid w:val="59B6187B"/>
    <w:rsid w:val="59B637AA"/>
    <w:rsid w:val="59B66B9D"/>
    <w:rsid w:val="59BB702E"/>
    <w:rsid w:val="59BC6BA7"/>
    <w:rsid w:val="59BD522E"/>
    <w:rsid w:val="59C169F9"/>
    <w:rsid w:val="59C5056A"/>
    <w:rsid w:val="59C966B0"/>
    <w:rsid w:val="59CB5DF6"/>
    <w:rsid w:val="59CC24D9"/>
    <w:rsid w:val="59CE745B"/>
    <w:rsid w:val="59D25A20"/>
    <w:rsid w:val="59D323D2"/>
    <w:rsid w:val="59D61AE6"/>
    <w:rsid w:val="59D87FB1"/>
    <w:rsid w:val="59D92049"/>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4C00"/>
    <w:rsid w:val="5A085665"/>
    <w:rsid w:val="5A0954E9"/>
    <w:rsid w:val="5A0F36E0"/>
    <w:rsid w:val="5A0F7D22"/>
    <w:rsid w:val="5A114B8E"/>
    <w:rsid w:val="5A132CC7"/>
    <w:rsid w:val="5A136CBF"/>
    <w:rsid w:val="5A142930"/>
    <w:rsid w:val="5A1B3F9A"/>
    <w:rsid w:val="5A1C12C8"/>
    <w:rsid w:val="5A1E0159"/>
    <w:rsid w:val="5A1E34D9"/>
    <w:rsid w:val="5A28394A"/>
    <w:rsid w:val="5A2E27FC"/>
    <w:rsid w:val="5A316FF1"/>
    <w:rsid w:val="5A31720A"/>
    <w:rsid w:val="5A395E04"/>
    <w:rsid w:val="5A3A5AEF"/>
    <w:rsid w:val="5A413C03"/>
    <w:rsid w:val="5A445162"/>
    <w:rsid w:val="5A4B4AAC"/>
    <w:rsid w:val="5A4C486A"/>
    <w:rsid w:val="5A4C4B68"/>
    <w:rsid w:val="5A4F70BE"/>
    <w:rsid w:val="5A587D09"/>
    <w:rsid w:val="5A5C7E2E"/>
    <w:rsid w:val="5A5E7F70"/>
    <w:rsid w:val="5A604289"/>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A685F"/>
    <w:rsid w:val="5AEB18FF"/>
    <w:rsid w:val="5AEB50FA"/>
    <w:rsid w:val="5AEC1812"/>
    <w:rsid w:val="5AF234FF"/>
    <w:rsid w:val="5AF611E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301C5F"/>
    <w:rsid w:val="5B307CB1"/>
    <w:rsid w:val="5B3175F5"/>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A6691"/>
    <w:rsid w:val="5B6A7A16"/>
    <w:rsid w:val="5B735FF0"/>
    <w:rsid w:val="5B741A17"/>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9D6FBD"/>
    <w:rsid w:val="5BA15903"/>
    <w:rsid w:val="5BA74E22"/>
    <w:rsid w:val="5BA90EA1"/>
    <w:rsid w:val="5BA95136"/>
    <w:rsid w:val="5BAA0519"/>
    <w:rsid w:val="5BB04311"/>
    <w:rsid w:val="5BB053CA"/>
    <w:rsid w:val="5BB32E91"/>
    <w:rsid w:val="5BB5241F"/>
    <w:rsid w:val="5BB65ECE"/>
    <w:rsid w:val="5BB8212C"/>
    <w:rsid w:val="5BC15EB8"/>
    <w:rsid w:val="5BC74859"/>
    <w:rsid w:val="5BCA00B7"/>
    <w:rsid w:val="5BCC0435"/>
    <w:rsid w:val="5BCC4944"/>
    <w:rsid w:val="5BCD2FB7"/>
    <w:rsid w:val="5BCF5104"/>
    <w:rsid w:val="5BCF5355"/>
    <w:rsid w:val="5BD0667C"/>
    <w:rsid w:val="5BD30DD9"/>
    <w:rsid w:val="5BD7150F"/>
    <w:rsid w:val="5BD71569"/>
    <w:rsid w:val="5BD740EC"/>
    <w:rsid w:val="5BD7758E"/>
    <w:rsid w:val="5BDB6915"/>
    <w:rsid w:val="5BDD35BA"/>
    <w:rsid w:val="5BDF7534"/>
    <w:rsid w:val="5BE200F2"/>
    <w:rsid w:val="5BE6014B"/>
    <w:rsid w:val="5BEC2ABA"/>
    <w:rsid w:val="5BED5DD3"/>
    <w:rsid w:val="5BEE3A39"/>
    <w:rsid w:val="5BF415DD"/>
    <w:rsid w:val="5BF56B07"/>
    <w:rsid w:val="5BF61379"/>
    <w:rsid w:val="5BF87786"/>
    <w:rsid w:val="5BF963A5"/>
    <w:rsid w:val="5BF97E0E"/>
    <w:rsid w:val="5BFC0292"/>
    <w:rsid w:val="5BFD21CC"/>
    <w:rsid w:val="5BFD3B7C"/>
    <w:rsid w:val="5BFE14DF"/>
    <w:rsid w:val="5C0346F9"/>
    <w:rsid w:val="5C087ECE"/>
    <w:rsid w:val="5C094964"/>
    <w:rsid w:val="5C0A1BAA"/>
    <w:rsid w:val="5C0E3DA7"/>
    <w:rsid w:val="5C117A3C"/>
    <w:rsid w:val="5C147F24"/>
    <w:rsid w:val="5C1E27E9"/>
    <w:rsid w:val="5C1E778A"/>
    <w:rsid w:val="5C1F7F42"/>
    <w:rsid w:val="5C2247DD"/>
    <w:rsid w:val="5C24520F"/>
    <w:rsid w:val="5C2D6C9A"/>
    <w:rsid w:val="5C306E9F"/>
    <w:rsid w:val="5C3106A9"/>
    <w:rsid w:val="5C3123C7"/>
    <w:rsid w:val="5C33384C"/>
    <w:rsid w:val="5C34118F"/>
    <w:rsid w:val="5C341791"/>
    <w:rsid w:val="5C3548C4"/>
    <w:rsid w:val="5C396052"/>
    <w:rsid w:val="5C3A1A7E"/>
    <w:rsid w:val="5C3C2A13"/>
    <w:rsid w:val="5C42181D"/>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52C5B"/>
    <w:rsid w:val="5CA61855"/>
    <w:rsid w:val="5CA8185D"/>
    <w:rsid w:val="5CA8510F"/>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E20A54"/>
    <w:rsid w:val="5CEB6A0E"/>
    <w:rsid w:val="5CEC0EB0"/>
    <w:rsid w:val="5CED14B9"/>
    <w:rsid w:val="5CEE788F"/>
    <w:rsid w:val="5CF0221E"/>
    <w:rsid w:val="5CF3257C"/>
    <w:rsid w:val="5CF648CF"/>
    <w:rsid w:val="5CF957EF"/>
    <w:rsid w:val="5CFC4E7A"/>
    <w:rsid w:val="5CFC7E7E"/>
    <w:rsid w:val="5CFD4F72"/>
    <w:rsid w:val="5D022E59"/>
    <w:rsid w:val="5D0273BD"/>
    <w:rsid w:val="5D056E1C"/>
    <w:rsid w:val="5D0576FB"/>
    <w:rsid w:val="5D071333"/>
    <w:rsid w:val="5D093D73"/>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A4A3F"/>
    <w:rsid w:val="5D4A7AC5"/>
    <w:rsid w:val="5D54012B"/>
    <w:rsid w:val="5D544DE9"/>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8541F"/>
    <w:rsid w:val="5D7C6364"/>
    <w:rsid w:val="5D7D4C90"/>
    <w:rsid w:val="5D813887"/>
    <w:rsid w:val="5D834F4B"/>
    <w:rsid w:val="5D8727E5"/>
    <w:rsid w:val="5D884605"/>
    <w:rsid w:val="5D893D4A"/>
    <w:rsid w:val="5D8A3B2D"/>
    <w:rsid w:val="5D8B330F"/>
    <w:rsid w:val="5D8B47E6"/>
    <w:rsid w:val="5D8C3A73"/>
    <w:rsid w:val="5D8C644D"/>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D4018"/>
    <w:rsid w:val="5DD01B8F"/>
    <w:rsid w:val="5DD1378D"/>
    <w:rsid w:val="5DD50E99"/>
    <w:rsid w:val="5DD60A70"/>
    <w:rsid w:val="5DDC78DB"/>
    <w:rsid w:val="5DDE09FC"/>
    <w:rsid w:val="5DE455D4"/>
    <w:rsid w:val="5DE51BF6"/>
    <w:rsid w:val="5DEB5594"/>
    <w:rsid w:val="5DF03DA0"/>
    <w:rsid w:val="5DF55A75"/>
    <w:rsid w:val="5DF6174F"/>
    <w:rsid w:val="5DF617F0"/>
    <w:rsid w:val="5DF71F9D"/>
    <w:rsid w:val="5DFE5C6C"/>
    <w:rsid w:val="5DFF6BFD"/>
    <w:rsid w:val="5E033A16"/>
    <w:rsid w:val="5E0C4B53"/>
    <w:rsid w:val="5E100989"/>
    <w:rsid w:val="5E161B56"/>
    <w:rsid w:val="5E193C40"/>
    <w:rsid w:val="5E1C347F"/>
    <w:rsid w:val="5E205AA8"/>
    <w:rsid w:val="5E2148A4"/>
    <w:rsid w:val="5E23411A"/>
    <w:rsid w:val="5E236C8D"/>
    <w:rsid w:val="5E264169"/>
    <w:rsid w:val="5E2C60FA"/>
    <w:rsid w:val="5E2D7853"/>
    <w:rsid w:val="5E2E7282"/>
    <w:rsid w:val="5E332383"/>
    <w:rsid w:val="5E3420E6"/>
    <w:rsid w:val="5E3A7CFE"/>
    <w:rsid w:val="5E3B7C64"/>
    <w:rsid w:val="5E3D19AC"/>
    <w:rsid w:val="5E3F47F3"/>
    <w:rsid w:val="5E411C36"/>
    <w:rsid w:val="5E430AC3"/>
    <w:rsid w:val="5E462F12"/>
    <w:rsid w:val="5E473F24"/>
    <w:rsid w:val="5E4B69BB"/>
    <w:rsid w:val="5E4C5639"/>
    <w:rsid w:val="5E4D37FE"/>
    <w:rsid w:val="5E526797"/>
    <w:rsid w:val="5E5362E5"/>
    <w:rsid w:val="5E595F4C"/>
    <w:rsid w:val="5E5A0520"/>
    <w:rsid w:val="5E5C39AE"/>
    <w:rsid w:val="5E5C50BF"/>
    <w:rsid w:val="5E5E51DA"/>
    <w:rsid w:val="5E5F1C63"/>
    <w:rsid w:val="5E5F2136"/>
    <w:rsid w:val="5E5F7D1C"/>
    <w:rsid w:val="5E615E36"/>
    <w:rsid w:val="5E6425BF"/>
    <w:rsid w:val="5E655BE4"/>
    <w:rsid w:val="5E65717E"/>
    <w:rsid w:val="5E6B3BFD"/>
    <w:rsid w:val="5E6E6238"/>
    <w:rsid w:val="5E7B58EC"/>
    <w:rsid w:val="5E7E23E2"/>
    <w:rsid w:val="5E7F0949"/>
    <w:rsid w:val="5E831931"/>
    <w:rsid w:val="5E847337"/>
    <w:rsid w:val="5E8A4453"/>
    <w:rsid w:val="5E8B09AD"/>
    <w:rsid w:val="5E8C0212"/>
    <w:rsid w:val="5E8D054E"/>
    <w:rsid w:val="5E955878"/>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B18B7"/>
    <w:rsid w:val="5EBB7A21"/>
    <w:rsid w:val="5EBE0468"/>
    <w:rsid w:val="5EC001BB"/>
    <w:rsid w:val="5EC057BB"/>
    <w:rsid w:val="5EC32768"/>
    <w:rsid w:val="5EC36FD0"/>
    <w:rsid w:val="5EC410EE"/>
    <w:rsid w:val="5EC440EA"/>
    <w:rsid w:val="5EC54163"/>
    <w:rsid w:val="5EC65749"/>
    <w:rsid w:val="5EC716A1"/>
    <w:rsid w:val="5EC71C04"/>
    <w:rsid w:val="5EC73C4B"/>
    <w:rsid w:val="5EC774A6"/>
    <w:rsid w:val="5EC80BAD"/>
    <w:rsid w:val="5ECD57D7"/>
    <w:rsid w:val="5ECF4F41"/>
    <w:rsid w:val="5ED04C8E"/>
    <w:rsid w:val="5ED17E65"/>
    <w:rsid w:val="5ED22552"/>
    <w:rsid w:val="5ED459BE"/>
    <w:rsid w:val="5ED7111B"/>
    <w:rsid w:val="5EDE4204"/>
    <w:rsid w:val="5EE026C8"/>
    <w:rsid w:val="5EE20A52"/>
    <w:rsid w:val="5EE926E9"/>
    <w:rsid w:val="5EF02762"/>
    <w:rsid w:val="5EF20148"/>
    <w:rsid w:val="5EF25C8A"/>
    <w:rsid w:val="5EF84E37"/>
    <w:rsid w:val="5EFC2113"/>
    <w:rsid w:val="5EFD47FD"/>
    <w:rsid w:val="5F001014"/>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37067"/>
    <w:rsid w:val="5F341FF4"/>
    <w:rsid w:val="5F397D45"/>
    <w:rsid w:val="5F3E523F"/>
    <w:rsid w:val="5F3E5B55"/>
    <w:rsid w:val="5F401BC2"/>
    <w:rsid w:val="5F4420AB"/>
    <w:rsid w:val="5F443B3F"/>
    <w:rsid w:val="5F446FAB"/>
    <w:rsid w:val="5F450652"/>
    <w:rsid w:val="5F451B62"/>
    <w:rsid w:val="5F470ACF"/>
    <w:rsid w:val="5F470C7F"/>
    <w:rsid w:val="5F4A1F0C"/>
    <w:rsid w:val="5F4B313B"/>
    <w:rsid w:val="5F4C00AA"/>
    <w:rsid w:val="5F4F543A"/>
    <w:rsid w:val="5F4F5621"/>
    <w:rsid w:val="5F511BB1"/>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702B7F"/>
    <w:rsid w:val="5F707F3A"/>
    <w:rsid w:val="5F714FED"/>
    <w:rsid w:val="5F775180"/>
    <w:rsid w:val="5F77686C"/>
    <w:rsid w:val="5F79039A"/>
    <w:rsid w:val="5F7C6B30"/>
    <w:rsid w:val="5F8029FD"/>
    <w:rsid w:val="5F8301A1"/>
    <w:rsid w:val="5F8316BF"/>
    <w:rsid w:val="5F834A9D"/>
    <w:rsid w:val="5F845EBF"/>
    <w:rsid w:val="5F88326D"/>
    <w:rsid w:val="5F8A282E"/>
    <w:rsid w:val="5F8B4EB2"/>
    <w:rsid w:val="5F8F4481"/>
    <w:rsid w:val="5F900EE5"/>
    <w:rsid w:val="5F922542"/>
    <w:rsid w:val="5F9B21DE"/>
    <w:rsid w:val="5F9F6925"/>
    <w:rsid w:val="5FA67CA6"/>
    <w:rsid w:val="5FAA7F02"/>
    <w:rsid w:val="5FAC730E"/>
    <w:rsid w:val="5FAF2D9B"/>
    <w:rsid w:val="5FB2796B"/>
    <w:rsid w:val="5FB75F24"/>
    <w:rsid w:val="5FBD2BF9"/>
    <w:rsid w:val="5FC00612"/>
    <w:rsid w:val="5FC058EC"/>
    <w:rsid w:val="5FC250AF"/>
    <w:rsid w:val="5FC520EA"/>
    <w:rsid w:val="5FC952F0"/>
    <w:rsid w:val="5FCB23D5"/>
    <w:rsid w:val="5FCC2938"/>
    <w:rsid w:val="5FD030DE"/>
    <w:rsid w:val="5FD71E38"/>
    <w:rsid w:val="5FD80FB7"/>
    <w:rsid w:val="5FD81B05"/>
    <w:rsid w:val="5FD90E7D"/>
    <w:rsid w:val="5FE03432"/>
    <w:rsid w:val="5FE0419C"/>
    <w:rsid w:val="5FE20245"/>
    <w:rsid w:val="5FE96881"/>
    <w:rsid w:val="5FED1EEF"/>
    <w:rsid w:val="5FED76F1"/>
    <w:rsid w:val="5FF01193"/>
    <w:rsid w:val="5FF25A3D"/>
    <w:rsid w:val="5FF6336B"/>
    <w:rsid w:val="5FF66B3F"/>
    <w:rsid w:val="5FF715C5"/>
    <w:rsid w:val="5FF75810"/>
    <w:rsid w:val="5FFA2F28"/>
    <w:rsid w:val="5FFB5E04"/>
    <w:rsid w:val="5FFD564F"/>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54C1A"/>
    <w:rsid w:val="603A3035"/>
    <w:rsid w:val="603A5DB2"/>
    <w:rsid w:val="603B60D9"/>
    <w:rsid w:val="603D67F0"/>
    <w:rsid w:val="603F7028"/>
    <w:rsid w:val="60493CA4"/>
    <w:rsid w:val="604E06AC"/>
    <w:rsid w:val="60565C5D"/>
    <w:rsid w:val="605706EA"/>
    <w:rsid w:val="60576163"/>
    <w:rsid w:val="605C06A5"/>
    <w:rsid w:val="605C602F"/>
    <w:rsid w:val="605D0693"/>
    <w:rsid w:val="60630492"/>
    <w:rsid w:val="60631C75"/>
    <w:rsid w:val="6063674F"/>
    <w:rsid w:val="60636A7F"/>
    <w:rsid w:val="60663109"/>
    <w:rsid w:val="60676D39"/>
    <w:rsid w:val="606872E6"/>
    <w:rsid w:val="606C245E"/>
    <w:rsid w:val="6075657D"/>
    <w:rsid w:val="60766514"/>
    <w:rsid w:val="60766609"/>
    <w:rsid w:val="6077213A"/>
    <w:rsid w:val="60783C7B"/>
    <w:rsid w:val="60792FA4"/>
    <w:rsid w:val="6082166E"/>
    <w:rsid w:val="608D1571"/>
    <w:rsid w:val="608F46CF"/>
    <w:rsid w:val="608F7CF3"/>
    <w:rsid w:val="60921840"/>
    <w:rsid w:val="60926DB8"/>
    <w:rsid w:val="60963776"/>
    <w:rsid w:val="609B57D6"/>
    <w:rsid w:val="609C310A"/>
    <w:rsid w:val="609E26E1"/>
    <w:rsid w:val="609F721B"/>
    <w:rsid w:val="60A04D08"/>
    <w:rsid w:val="60A3608E"/>
    <w:rsid w:val="60A75DF2"/>
    <w:rsid w:val="60A76E9A"/>
    <w:rsid w:val="60AC1F87"/>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32795"/>
    <w:rsid w:val="60D53DB3"/>
    <w:rsid w:val="60D806E3"/>
    <w:rsid w:val="60DA0804"/>
    <w:rsid w:val="60DC14CC"/>
    <w:rsid w:val="60E65742"/>
    <w:rsid w:val="60F2074A"/>
    <w:rsid w:val="60F276A8"/>
    <w:rsid w:val="60F537B4"/>
    <w:rsid w:val="60FD4CDF"/>
    <w:rsid w:val="60FF30E9"/>
    <w:rsid w:val="610F37DD"/>
    <w:rsid w:val="610F5EA7"/>
    <w:rsid w:val="611109B7"/>
    <w:rsid w:val="61141B84"/>
    <w:rsid w:val="611535AD"/>
    <w:rsid w:val="611722FB"/>
    <w:rsid w:val="611756B1"/>
    <w:rsid w:val="611A425C"/>
    <w:rsid w:val="611F3F83"/>
    <w:rsid w:val="612400B1"/>
    <w:rsid w:val="61241E30"/>
    <w:rsid w:val="612537AE"/>
    <w:rsid w:val="61275924"/>
    <w:rsid w:val="61297814"/>
    <w:rsid w:val="6131152F"/>
    <w:rsid w:val="61314A3A"/>
    <w:rsid w:val="6133736A"/>
    <w:rsid w:val="61376476"/>
    <w:rsid w:val="613A3980"/>
    <w:rsid w:val="613D0186"/>
    <w:rsid w:val="613D020A"/>
    <w:rsid w:val="6141098D"/>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647F1"/>
    <w:rsid w:val="61B71EF0"/>
    <w:rsid w:val="61C0627E"/>
    <w:rsid w:val="61C20BC8"/>
    <w:rsid w:val="61C43E35"/>
    <w:rsid w:val="61C44AAA"/>
    <w:rsid w:val="61C54B54"/>
    <w:rsid w:val="61C806A8"/>
    <w:rsid w:val="61C85B59"/>
    <w:rsid w:val="61C864F5"/>
    <w:rsid w:val="61C95380"/>
    <w:rsid w:val="61CE6A35"/>
    <w:rsid w:val="61CF152D"/>
    <w:rsid w:val="61CF16E2"/>
    <w:rsid w:val="61D01B4A"/>
    <w:rsid w:val="61D40F15"/>
    <w:rsid w:val="61D56753"/>
    <w:rsid w:val="61DC4C65"/>
    <w:rsid w:val="61DF2556"/>
    <w:rsid w:val="61E35086"/>
    <w:rsid w:val="61E77EDF"/>
    <w:rsid w:val="61E86BF5"/>
    <w:rsid w:val="61EA0B09"/>
    <w:rsid w:val="61F3459B"/>
    <w:rsid w:val="61F402FA"/>
    <w:rsid w:val="61FB6569"/>
    <w:rsid w:val="61FE06C1"/>
    <w:rsid w:val="62024C83"/>
    <w:rsid w:val="62041FB9"/>
    <w:rsid w:val="620674E7"/>
    <w:rsid w:val="620B6566"/>
    <w:rsid w:val="620C516A"/>
    <w:rsid w:val="621318BC"/>
    <w:rsid w:val="6214676A"/>
    <w:rsid w:val="62162C8E"/>
    <w:rsid w:val="62166754"/>
    <w:rsid w:val="6217350D"/>
    <w:rsid w:val="62174C12"/>
    <w:rsid w:val="621C53B2"/>
    <w:rsid w:val="621E18B8"/>
    <w:rsid w:val="621E4474"/>
    <w:rsid w:val="622021EE"/>
    <w:rsid w:val="622A1D0F"/>
    <w:rsid w:val="622E58C5"/>
    <w:rsid w:val="62323602"/>
    <w:rsid w:val="62327288"/>
    <w:rsid w:val="62371B1E"/>
    <w:rsid w:val="62393D75"/>
    <w:rsid w:val="623B4074"/>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86D9D"/>
    <w:rsid w:val="629D77DB"/>
    <w:rsid w:val="62A01782"/>
    <w:rsid w:val="62A113D6"/>
    <w:rsid w:val="62A405F9"/>
    <w:rsid w:val="62A56970"/>
    <w:rsid w:val="62A8670C"/>
    <w:rsid w:val="62AB6F11"/>
    <w:rsid w:val="62AE4744"/>
    <w:rsid w:val="62B02D61"/>
    <w:rsid w:val="62B32CEF"/>
    <w:rsid w:val="62BA1D9C"/>
    <w:rsid w:val="62BB66F3"/>
    <w:rsid w:val="62BD5F3C"/>
    <w:rsid w:val="62BD6C68"/>
    <w:rsid w:val="62BE386F"/>
    <w:rsid w:val="62BE511E"/>
    <w:rsid w:val="62BF786A"/>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E701B8"/>
    <w:rsid w:val="62F14CFA"/>
    <w:rsid w:val="62F3165E"/>
    <w:rsid w:val="62F95389"/>
    <w:rsid w:val="62FE3DDF"/>
    <w:rsid w:val="6307100C"/>
    <w:rsid w:val="63084189"/>
    <w:rsid w:val="631661D3"/>
    <w:rsid w:val="631810EA"/>
    <w:rsid w:val="631D1D39"/>
    <w:rsid w:val="631E222D"/>
    <w:rsid w:val="6323302E"/>
    <w:rsid w:val="632977E3"/>
    <w:rsid w:val="632A1138"/>
    <w:rsid w:val="6330188F"/>
    <w:rsid w:val="63313EBB"/>
    <w:rsid w:val="63317B20"/>
    <w:rsid w:val="63350DAD"/>
    <w:rsid w:val="6336067D"/>
    <w:rsid w:val="6339751D"/>
    <w:rsid w:val="634031E9"/>
    <w:rsid w:val="6340632E"/>
    <w:rsid w:val="63437EDA"/>
    <w:rsid w:val="63473774"/>
    <w:rsid w:val="634C765A"/>
    <w:rsid w:val="634D40CD"/>
    <w:rsid w:val="635461B2"/>
    <w:rsid w:val="63575B45"/>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7EDA"/>
    <w:rsid w:val="63823FE1"/>
    <w:rsid w:val="6383046D"/>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74B6"/>
    <w:rsid w:val="63AB639F"/>
    <w:rsid w:val="63AC7321"/>
    <w:rsid w:val="63AD1985"/>
    <w:rsid w:val="63AF1918"/>
    <w:rsid w:val="63B06343"/>
    <w:rsid w:val="63B46142"/>
    <w:rsid w:val="63BA049D"/>
    <w:rsid w:val="63BA22BB"/>
    <w:rsid w:val="63BC10AC"/>
    <w:rsid w:val="63BD1CE7"/>
    <w:rsid w:val="63BE0FD1"/>
    <w:rsid w:val="63BE5D25"/>
    <w:rsid w:val="63C70F18"/>
    <w:rsid w:val="63CB612F"/>
    <w:rsid w:val="63CB7801"/>
    <w:rsid w:val="63CE5261"/>
    <w:rsid w:val="63D079C3"/>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7738"/>
    <w:rsid w:val="64020E89"/>
    <w:rsid w:val="64020F09"/>
    <w:rsid w:val="64046882"/>
    <w:rsid w:val="64066B96"/>
    <w:rsid w:val="64071787"/>
    <w:rsid w:val="640A17B2"/>
    <w:rsid w:val="640A4139"/>
    <w:rsid w:val="640A485A"/>
    <w:rsid w:val="640A5372"/>
    <w:rsid w:val="640C4A46"/>
    <w:rsid w:val="640D382E"/>
    <w:rsid w:val="640D4527"/>
    <w:rsid w:val="640E3958"/>
    <w:rsid w:val="64110B68"/>
    <w:rsid w:val="641150BB"/>
    <w:rsid w:val="64180119"/>
    <w:rsid w:val="641C0F05"/>
    <w:rsid w:val="641C50A9"/>
    <w:rsid w:val="64267AFF"/>
    <w:rsid w:val="642A67B5"/>
    <w:rsid w:val="642D2CFD"/>
    <w:rsid w:val="642D2D5A"/>
    <w:rsid w:val="642D6A93"/>
    <w:rsid w:val="642E7CA6"/>
    <w:rsid w:val="642F0F64"/>
    <w:rsid w:val="64341486"/>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A1296"/>
    <w:rsid w:val="645A28E2"/>
    <w:rsid w:val="645C1640"/>
    <w:rsid w:val="645E59AD"/>
    <w:rsid w:val="64611368"/>
    <w:rsid w:val="64627008"/>
    <w:rsid w:val="64671172"/>
    <w:rsid w:val="64671409"/>
    <w:rsid w:val="646A51B1"/>
    <w:rsid w:val="646B704A"/>
    <w:rsid w:val="646D53B5"/>
    <w:rsid w:val="646D688F"/>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D7C7B"/>
    <w:rsid w:val="64B36EA6"/>
    <w:rsid w:val="64B46201"/>
    <w:rsid w:val="64B74F3F"/>
    <w:rsid w:val="64BA58E6"/>
    <w:rsid w:val="64BC4D6F"/>
    <w:rsid w:val="64C0142E"/>
    <w:rsid w:val="64C77F8C"/>
    <w:rsid w:val="64C93883"/>
    <w:rsid w:val="64CB47C9"/>
    <w:rsid w:val="64D420D4"/>
    <w:rsid w:val="64D53B11"/>
    <w:rsid w:val="64DB5E85"/>
    <w:rsid w:val="64DB7598"/>
    <w:rsid w:val="64E2162B"/>
    <w:rsid w:val="64E30C60"/>
    <w:rsid w:val="64E40D18"/>
    <w:rsid w:val="64E50DEB"/>
    <w:rsid w:val="64E55F58"/>
    <w:rsid w:val="64E653A5"/>
    <w:rsid w:val="64E75492"/>
    <w:rsid w:val="64E81568"/>
    <w:rsid w:val="64E91EFD"/>
    <w:rsid w:val="64F029E5"/>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B7739"/>
    <w:rsid w:val="650E6BF3"/>
    <w:rsid w:val="6514292A"/>
    <w:rsid w:val="65154EBF"/>
    <w:rsid w:val="6518208F"/>
    <w:rsid w:val="651868B9"/>
    <w:rsid w:val="65196556"/>
    <w:rsid w:val="651A3113"/>
    <w:rsid w:val="651A3BE6"/>
    <w:rsid w:val="651B71B5"/>
    <w:rsid w:val="65206AAB"/>
    <w:rsid w:val="6521177C"/>
    <w:rsid w:val="652B033E"/>
    <w:rsid w:val="652C4425"/>
    <w:rsid w:val="652E210C"/>
    <w:rsid w:val="65330B2D"/>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F727A"/>
    <w:rsid w:val="657F73E9"/>
    <w:rsid w:val="65850BB9"/>
    <w:rsid w:val="65893F89"/>
    <w:rsid w:val="658A6E2F"/>
    <w:rsid w:val="658E751E"/>
    <w:rsid w:val="659324AD"/>
    <w:rsid w:val="65933814"/>
    <w:rsid w:val="6597774C"/>
    <w:rsid w:val="659D1BB0"/>
    <w:rsid w:val="659F41A4"/>
    <w:rsid w:val="65A021E5"/>
    <w:rsid w:val="65A261A1"/>
    <w:rsid w:val="65A36130"/>
    <w:rsid w:val="65A92399"/>
    <w:rsid w:val="65A93355"/>
    <w:rsid w:val="65AC519A"/>
    <w:rsid w:val="65AD54DD"/>
    <w:rsid w:val="65AF2C36"/>
    <w:rsid w:val="65B017AE"/>
    <w:rsid w:val="65B36605"/>
    <w:rsid w:val="65B50A2A"/>
    <w:rsid w:val="65B60CD4"/>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70A73"/>
    <w:rsid w:val="660950AB"/>
    <w:rsid w:val="660C6FF1"/>
    <w:rsid w:val="660D6761"/>
    <w:rsid w:val="660E7776"/>
    <w:rsid w:val="6616214E"/>
    <w:rsid w:val="6617214D"/>
    <w:rsid w:val="661E5F99"/>
    <w:rsid w:val="661F03E9"/>
    <w:rsid w:val="661F766F"/>
    <w:rsid w:val="66240BEA"/>
    <w:rsid w:val="66251AA2"/>
    <w:rsid w:val="6628551F"/>
    <w:rsid w:val="662A258E"/>
    <w:rsid w:val="66317C63"/>
    <w:rsid w:val="6633187B"/>
    <w:rsid w:val="663551B8"/>
    <w:rsid w:val="66356DA2"/>
    <w:rsid w:val="66371620"/>
    <w:rsid w:val="66385F21"/>
    <w:rsid w:val="663955D7"/>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82FC0"/>
    <w:rsid w:val="666A76C2"/>
    <w:rsid w:val="666B08D8"/>
    <w:rsid w:val="666D02D2"/>
    <w:rsid w:val="6671411E"/>
    <w:rsid w:val="66780977"/>
    <w:rsid w:val="66797877"/>
    <w:rsid w:val="667B11DE"/>
    <w:rsid w:val="667C1331"/>
    <w:rsid w:val="667C6FD1"/>
    <w:rsid w:val="667D6ED1"/>
    <w:rsid w:val="6682725F"/>
    <w:rsid w:val="6685294F"/>
    <w:rsid w:val="668745E1"/>
    <w:rsid w:val="66882961"/>
    <w:rsid w:val="66891855"/>
    <w:rsid w:val="668B27CE"/>
    <w:rsid w:val="6695308E"/>
    <w:rsid w:val="66966730"/>
    <w:rsid w:val="669C1C1D"/>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E04950"/>
    <w:rsid w:val="66E06C7B"/>
    <w:rsid w:val="66E42A8E"/>
    <w:rsid w:val="66F655E9"/>
    <w:rsid w:val="66F824FD"/>
    <w:rsid w:val="66F84618"/>
    <w:rsid w:val="66F97213"/>
    <w:rsid w:val="66F978BC"/>
    <w:rsid w:val="67006EDC"/>
    <w:rsid w:val="670977CD"/>
    <w:rsid w:val="670D22F0"/>
    <w:rsid w:val="6710207C"/>
    <w:rsid w:val="67112D82"/>
    <w:rsid w:val="67114430"/>
    <w:rsid w:val="67122ADC"/>
    <w:rsid w:val="67192171"/>
    <w:rsid w:val="671E1215"/>
    <w:rsid w:val="671E6FB3"/>
    <w:rsid w:val="672002B4"/>
    <w:rsid w:val="67242361"/>
    <w:rsid w:val="67250FD3"/>
    <w:rsid w:val="67254B93"/>
    <w:rsid w:val="672661BF"/>
    <w:rsid w:val="67266482"/>
    <w:rsid w:val="672B5062"/>
    <w:rsid w:val="672B583E"/>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3601C"/>
    <w:rsid w:val="676618F7"/>
    <w:rsid w:val="676642DF"/>
    <w:rsid w:val="67676BBC"/>
    <w:rsid w:val="67682457"/>
    <w:rsid w:val="67686554"/>
    <w:rsid w:val="676A5FCF"/>
    <w:rsid w:val="676A644B"/>
    <w:rsid w:val="67743DB7"/>
    <w:rsid w:val="67757DF7"/>
    <w:rsid w:val="67767C08"/>
    <w:rsid w:val="67797BCF"/>
    <w:rsid w:val="677A0A95"/>
    <w:rsid w:val="677A335A"/>
    <w:rsid w:val="677A67A0"/>
    <w:rsid w:val="677B13A8"/>
    <w:rsid w:val="677C634D"/>
    <w:rsid w:val="677F278C"/>
    <w:rsid w:val="678246CD"/>
    <w:rsid w:val="67874BCC"/>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D174B3"/>
    <w:rsid w:val="67D43748"/>
    <w:rsid w:val="67D45010"/>
    <w:rsid w:val="67D87DD8"/>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1116"/>
    <w:rsid w:val="685B3DBC"/>
    <w:rsid w:val="685D61C6"/>
    <w:rsid w:val="686111F0"/>
    <w:rsid w:val="68620D1E"/>
    <w:rsid w:val="68642530"/>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86535"/>
    <w:rsid w:val="689A4564"/>
    <w:rsid w:val="689C19A7"/>
    <w:rsid w:val="689C1D3D"/>
    <w:rsid w:val="68A04824"/>
    <w:rsid w:val="68A16D1B"/>
    <w:rsid w:val="68A27318"/>
    <w:rsid w:val="68A42071"/>
    <w:rsid w:val="68A57DE0"/>
    <w:rsid w:val="68A67F41"/>
    <w:rsid w:val="68A74347"/>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64B42"/>
    <w:rsid w:val="68E76E2D"/>
    <w:rsid w:val="68F30215"/>
    <w:rsid w:val="68F56E5F"/>
    <w:rsid w:val="68F83E7C"/>
    <w:rsid w:val="68FA7858"/>
    <w:rsid w:val="68FC4674"/>
    <w:rsid w:val="68FC57C9"/>
    <w:rsid w:val="68FD13E9"/>
    <w:rsid w:val="68FD6509"/>
    <w:rsid w:val="69017ACE"/>
    <w:rsid w:val="69070B81"/>
    <w:rsid w:val="69097843"/>
    <w:rsid w:val="690A753C"/>
    <w:rsid w:val="690C414B"/>
    <w:rsid w:val="690D60D1"/>
    <w:rsid w:val="690D6781"/>
    <w:rsid w:val="690F7728"/>
    <w:rsid w:val="6910295A"/>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44451"/>
    <w:rsid w:val="6979781E"/>
    <w:rsid w:val="697D497C"/>
    <w:rsid w:val="69812368"/>
    <w:rsid w:val="69880920"/>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32B03"/>
    <w:rsid w:val="69B51C7C"/>
    <w:rsid w:val="69B708E1"/>
    <w:rsid w:val="69B82747"/>
    <w:rsid w:val="69C35137"/>
    <w:rsid w:val="69C623D4"/>
    <w:rsid w:val="69C66225"/>
    <w:rsid w:val="69C8071C"/>
    <w:rsid w:val="69C94BD6"/>
    <w:rsid w:val="69CB1DAF"/>
    <w:rsid w:val="69CC7718"/>
    <w:rsid w:val="69CF4996"/>
    <w:rsid w:val="69CF6FA8"/>
    <w:rsid w:val="69CF6FFA"/>
    <w:rsid w:val="69D108DE"/>
    <w:rsid w:val="69D12522"/>
    <w:rsid w:val="69D129B7"/>
    <w:rsid w:val="69D271BF"/>
    <w:rsid w:val="69DA36CA"/>
    <w:rsid w:val="69DD700A"/>
    <w:rsid w:val="69E64B14"/>
    <w:rsid w:val="69E678C6"/>
    <w:rsid w:val="69E806A7"/>
    <w:rsid w:val="69E92D8D"/>
    <w:rsid w:val="69ED436E"/>
    <w:rsid w:val="69F0373B"/>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2A5287"/>
    <w:rsid w:val="6A2C6D3B"/>
    <w:rsid w:val="6A331129"/>
    <w:rsid w:val="6A33695F"/>
    <w:rsid w:val="6A34616C"/>
    <w:rsid w:val="6A3663FE"/>
    <w:rsid w:val="6A3748D4"/>
    <w:rsid w:val="6A38694B"/>
    <w:rsid w:val="6A393DF7"/>
    <w:rsid w:val="6A3A15CA"/>
    <w:rsid w:val="6A3B11E5"/>
    <w:rsid w:val="6A3D2D19"/>
    <w:rsid w:val="6A3F37DD"/>
    <w:rsid w:val="6A405154"/>
    <w:rsid w:val="6A414014"/>
    <w:rsid w:val="6A464B1B"/>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912590"/>
    <w:rsid w:val="6A916675"/>
    <w:rsid w:val="6A917224"/>
    <w:rsid w:val="6A9668E4"/>
    <w:rsid w:val="6A9B6710"/>
    <w:rsid w:val="6A9C62FC"/>
    <w:rsid w:val="6A9F1C46"/>
    <w:rsid w:val="6AA552AB"/>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774AE"/>
    <w:rsid w:val="6AD93BEA"/>
    <w:rsid w:val="6ADC0CE1"/>
    <w:rsid w:val="6ADC6FAE"/>
    <w:rsid w:val="6ADD15FF"/>
    <w:rsid w:val="6ADD40C5"/>
    <w:rsid w:val="6ADF4762"/>
    <w:rsid w:val="6AE519D5"/>
    <w:rsid w:val="6AE663E5"/>
    <w:rsid w:val="6AEB1A7E"/>
    <w:rsid w:val="6AED0C6A"/>
    <w:rsid w:val="6AEF061E"/>
    <w:rsid w:val="6AF105D1"/>
    <w:rsid w:val="6AF25C11"/>
    <w:rsid w:val="6AF47B90"/>
    <w:rsid w:val="6AF64600"/>
    <w:rsid w:val="6AF70E11"/>
    <w:rsid w:val="6AF77235"/>
    <w:rsid w:val="6AFB095A"/>
    <w:rsid w:val="6AFC0248"/>
    <w:rsid w:val="6B031C01"/>
    <w:rsid w:val="6B067226"/>
    <w:rsid w:val="6B0A2676"/>
    <w:rsid w:val="6B0A317B"/>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8264C"/>
    <w:rsid w:val="6B2E0BBC"/>
    <w:rsid w:val="6B2F07AC"/>
    <w:rsid w:val="6B307469"/>
    <w:rsid w:val="6B317E59"/>
    <w:rsid w:val="6B3279DD"/>
    <w:rsid w:val="6B362156"/>
    <w:rsid w:val="6B3E2D85"/>
    <w:rsid w:val="6B4056F2"/>
    <w:rsid w:val="6B4B2D3D"/>
    <w:rsid w:val="6B4C298E"/>
    <w:rsid w:val="6B4E32A9"/>
    <w:rsid w:val="6B570852"/>
    <w:rsid w:val="6B577EEA"/>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34C6C"/>
    <w:rsid w:val="6B936FB3"/>
    <w:rsid w:val="6B9375DA"/>
    <w:rsid w:val="6B994846"/>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393A"/>
    <w:rsid w:val="6C0940C6"/>
    <w:rsid w:val="6C1005E4"/>
    <w:rsid w:val="6C174D63"/>
    <w:rsid w:val="6C191F82"/>
    <w:rsid w:val="6C1B5804"/>
    <w:rsid w:val="6C1D4E84"/>
    <w:rsid w:val="6C216E99"/>
    <w:rsid w:val="6C22055A"/>
    <w:rsid w:val="6C2259D7"/>
    <w:rsid w:val="6C2619BA"/>
    <w:rsid w:val="6C2A7443"/>
    <w:rsid w:val="6C3001FD"/>
    <w:rsid w:val="6C344CB5"/>
    <w:rsid w:val="6C365A73"/>
    <w:rsid w:val="6C3E1799"/>
    <w:rsid w:val="6C40548A"/>
    <w:rsid w:val="6C477159"/>
    <w:rsid w:val="6C4A6018"/>
    <w:rsid w:val="6C4D5B53"/>
    <w:rsid w:val="6C5A59DF"/>
    <w:rsid w:val="6C5C1842"/>
    <w:rsid w:val="6C5D172C"/>
    <w:rsid w:val="6C6230F4"/>
    <w:rsid w:val="6C637A3B"/>
    <w:rsid w:val="6C651394"/>
    <w:rsid w:val="6C656687"/>
    <w:rsid w:val="6C6667F4"/>
    <w:rsid w:val="6C6831F3"/>
    <w:rsid w:val="6C6A2033"/>
    <w:rsid w:val="6C6D2EF6"/>
    <w:rsid w:val="6C6F64B9"/>
    <w:rsid w:val="6C7505AF"/>
    <w:rsid w:val="6C757F14"/>
    <w:rsid w:val="6C787E50"/>
    <w:rsid w:val="6C79395B"/>
    <w:rsid w:val="6C7B102A"/>
    <w:rsid w:val="6C7B5281"/>
    <w:rsid w:val="6C7C6C3F"/>
    <w:rsid w:val="6C7C787B"/>
    <w:rsid w:val="6C7D2FC6"/>
    <w:rsid w:val="6C7D54FB"/>
    <w:rsid w:val="6C807D56"/>
    <w:rsid w:val="6C8139CF"/>
    <w:rsid w:val="6C850598"/>
    <w:rsid w:val="6C8903E5"/>
    <w:rsid w:val="6C8B5838"/>
    <w:rsid w:val="6C8B71BB"/>
    <w:rsid w:val="6C8C451C"/>
    <w:rsid w:val="6C8D532E"/>
    <w:rsid w:val="6C91162D"/>
    <w:rsid w:val="6C91192B"/>
    <w:rsid w:val="6C9230A7"/>
    <w:rsid w:val="6C984696"/>
    <w:rsid w:val="6C9C14EB"/>
    <w:rsid w:val="6C9E700E"/>
    <w:rsid w:val="6C9E72A3"/>
    <w:rsid w:val="6CA155DB"/>
    <w:rsid w:val="6CA608C6"/>
    <w:rsid w:val="6CA82EBE"/>
    <w:rsid w:val="6CA9732A"/>
    <w:rsid w:val="6CAB458D"/>
    <w:rsid w:val="6CAC0C69"/>
    <w:rsid w:val="6CAD203E"/>
    <w:rsid w:val="6CB00948"/>
    <w:rsid w:val="6CB17691"/>
    <w:rsid w:val="6CB447AB"/>
    <w:rsid w:val="6CBA067C"/>
    <w:rsid w:val="6CBA410F"/>
    <w:rsid w:val="6CBB4B87"/>
    <w:rsid w:val="6CBE0476"/>
    <w:rsid w:val="6CC06563"/>
    <w:rsid w:val="6CC11A24"/>
    <w:rsid w:val="6CC26C82"/>
    <w:rsid w:val="6CC34BD4"/>
    <w:rsid w:val="6CC43B00"/>
    <w:rsid w:val="6CCE108A"/>
    <w:rsid w:val="6CCE292A"/>
    <w:rsid w:val="6CD448F6"/>
    <w:rsid w:val="6CD55849"/>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27907"/>
    <w:rsid w:val="6D134C1C"/>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E0C3A"/>
    <w:rsid w:val="6DAE76F6"/>
    <w:rsid w:val="6DAF233E"/>
    <w:rsid w:val="6DB13D2D"/>
    <w:rsid w:val="6DB3080C"/>
    <w:rsid w:val="6DB43E4B"/>
    <w:rsid w:val="6DB469FD"/>
    <w:rsid w:val="6DB501FA"/>
    <w:rsid w:val="6DB50B3A"/>
    <w:rsid w:val="6DB66FAE"/>
    <w:rsid w:val="6DBF4A7E"/>
    <w:rsid w:val="6DC85DCA"/>
    <w:rsid w:val="6DC97FA9"/>
    <w:rsid w:val="6DCF133B"/>
    <w:rsid w:val="6DCF57B1"/>
    <w:rsid w:val="6DD26A28"/>
    <w:rsid w:val="6DD31B82"/>
    <w:rsid w:val="6DD57D74"/>
    <w:rsid w:val="6DD751C3"/>
    <w:rsid w:val="6DDD7235"/>
    <w:rsid w:val="6DE213C3"/>
    <w:rsid w:val="6DE3001B"/>
    <w:rsid w:val="6DE37B7C"/>
    <w:rsid w:val="6DE5644A"/>
    <w:rsid w:val="6DE86A47"/>
    <w:rsid w:val="6DEF6992"/>
    <w:rsid w:val="6DF53564"/>
    <w:rsid w:val="6DF96BBF"/>
    <w:rsid w:val="6DFA5C2C"/>
    <w:rsid w:val="6DFA6EB2"/>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26006"/>
    <w:rsid w:val="6E330948"/>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9148D4"/>
    <w:rsid w:val="6E9A1ECD"/>
    <w:rsid w:val="6E9A4712"/>
    <w:rsid w:val="6E9C6DEE"/>
    <w:rsid w:val="6EA54FF4"/>
    <w:rsid w:val="6EA72584"/>
    <w:rsid w:val="6EAC37C0"/>
    <w:rsid w:val="6EAC5039"/>
    <w:rsid w:val="6EAF68AF"/>
    <w:rsid w:val="6EBA62F4"/>
    <w:rsid w:val="6EBF5405"/>
    <w:rsid w:val="6EC11395"/>
    <w:rsid w:val="6EC226BC"/>
    <w:rsid w:val="6EC70AF1"/>
    <w:rsid w:val="6EC93767"/>
    <w:rsid w:val="6EC9533D"/>
    <w:rsid w:val="6ECB6432"/>
    <w:rsid w:val="6ECC72CB"/>
    <w:rsid w:val="6ECF657F"/>
    <w:rsid w:val="6ED04C11"/>
    <w:rsid w:val="6ED473C1"/>
    <w:rsid w:val="6ED73F2E"/>
    <w:rsid w:val="6ED96542"/>
    <w:rsid w:val="6EE07ED4"/>
    <w:rsid w:val="6EE34E5E"/>
    <w:rsid w:val="6EE639F5"/>
    <w:rsid w:val="6EE710F1"/>
    <w:rsid w:val="6EE924FA"/>
    <w:rsid w:val="6EED0FD6"/>
    <w:rsid w:val="6F0514F3"/>
    <w:rsid w:val="6F0B0B38"/>
    <w:rsid w:val="6F0B6FA8"/>
    <w:rsid w:val="6F0C5AD3"/>
    <w:rsid w:val="6F0D3E81"/>
    <w:rsid w:val="6F0D48BC"/>
    <w:rsid w:val="6F1156D9"/>
    <w:rsid w:val="6F1709FF"/>
    <w:rsid w:val="6F1C5E77"/>
    <w:rsid w:val="6F255F77"/>
    <w:rsid w:val="6F257780"/>
    <w:rsid w:val="6F26731D"/>
    <w:rsid w:val="6F28423C"/>
    <w:rsid w:val="6F2B6E34"/>
    <w:rsid w:val="6F2F3E9A"/>
    <w:rsid w:val="6F2F5E9D"/>
    <w:rsid w:val="6F3140F1"/>
    <w:rsid w:val="6F33749B"/>
    <w:rsid w:val="6F3442CD"/>
    <w:rsid w:val="6F370810"/>
    <w:rsid w:val="6F455118"/>
    <w:rsid w:val="6F456CD3"/>
    <w:rsid w:val="6F4A193D"/>
    <w:rsid w:val="6F4B28EB"/>
    <w:rsid w:val="6F4B5873"/>
    <w:rsid w:val="6F4C2A4B"/>
    <w:rsid w:val="6F5A0F4F"/>
    <w:rsid w:val="6F5C751E"/>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A11692"/>
    <w:rsid w:val="6FA2172F"/>
    <w:rsid w:val="6FA2371B"/>
    <w:rsid w:val="6FA6078A"/>
    <w:rsid w:val="6FA8423D"/>
    <w:rsid w:val="6FAD7B1E"/>
    <w:rsid w:val="6FAE0AA0"/>
    <w:rsid w:val="6FB21CE7"/>
    <w:rsid w:val="6FB774AA"/>
    <w:rsid w:val="6FB9118B"/>
    <w:rsid w:val="6FB95018"/>
    <w:rsid w:val="6FCB107E"/>
    <w:rsid w:val="6FCD3EC9"/>
    <w:rsid w:val="6FCF6CA4"/>
    <w:rsid w:val="6FD80805"/>
    <w:rsid w:val="6FE01CA8"/>
    <w:rsid w:val="6FE076D7"/>
    <w:rsid w:val="6FE16702"/>
    <w:rsid w:val="6FE27C4E"/>
    <w:rsid w:val="6FE45E8D"/>
    <w:rsid w:val="6FE77F2B"/>
    <w:rsid w:val="6FEA320D"/>
    <w:rsid w:val="6FF145C9"/>
    <w:rsid w:val="6FF30B8D"/>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90B86"/>
    <w:rsid w:val="70193E0B"/>
    <w:rsid w:val="701A7105"/>
    <w:rsid w:val="701C6D15"/>
    <w:rsid w:val="701D3556"/>
    <w:rsid w:val="701D64B6"/>
    <w:rsid w:val="701D6A2F"/>
    <w:rsid w:val="701E317E"/>
    <w:rsid w:val="701F43FF"/>
    <w:rsid w:val="70211A1B"/>
    <w:rsid w:val="70235BF0"/>
    <w:rsid w:val="70274F04"/>
    <w:rsid w:val="7028170A"/>
    <w:rsid w:val="7028229F"/>
    <w:rsid w:val="702A2FBC"/>
    <w:rsid w:val="702F140E"/>
    <w:rsid w:val="70331598"/>
    <w:rsid w:val="70367670"/>
    <w:rsid w:val="703A627D"/>
    <w:rsid w:val="703D01FC"/>
    <w:rsid w:val="703F1F49"/>
    <w:rsid w:val="7041576B"/>
    <w:rsid w:val="7043241F"/>
    <w:rsid w:val="704548A7"/>
    <w:rsid w:val="70472DE7"/>
    <w:rsid w:val="704A4696"/>
    <w:rsid w:val="704D1B44"/>
    <w:rsid w:val="704E1926"/>
    <w:rsid w:val="705A4DC4"/>
    <w:rsid w:val="705A7AA6"/>
    <w:rsid w:val="705C18DF"/>
    <w:rsid w:val="705C7C95"/>
    <w:rsid w:val="70607A67"/>
    <w:rsid w:val="70616A8A"/>
    <w:rsid w:val="706435CA"/>
    <w:rsid w:val="70647078"/>
    <w:rsid w:val="706E3AAA"/>
    <w:rsid w:val="706E75F9"/>
    <w:rsid w:val="70712CC2"/>
    <w:rsid w:val="70726461"/>
    <w:rsid w:val="70753846"/>
    <w:rsid w:val="70754DBB"/>
    <w:rsid w:val="707A0996"/>
    <w:rsid w:val="707B641B"/>
    <w:rsid w:val="707B7C08"/>
    <w:rsid w:val="7082480E"/>
    <w:rsid w:val="7084764A"/>
    <w:rsid w:val="708715DE"/>
    <w:rsid w:val="708723E6"/>
    <w:rsid w:val="7087316B"/>
    <w:rsid w:val="708A2370"/>
    <w:rsid w:val="708A7734"/>
    <w:rsid w:val="7093176B"/>
    <w:rsid w:val="709525B2"/>
    <w:rsid w:val="709611EB"/>
    <w:rsid w:val="709742F9"/>
    <w:rsid w:val="709C2F82"/>
    <w:rsid w:val="70A55E84"/>
    <w:rsid w:val="70A86150"/>
    <w:rsid w:val="70AA465D"/>
    <w:rsid w:val="70AB186E"/>
    <w:rsid w:val="70AD4543"/>
    <w:rsid w:val="70B30A06"/>
    <w:rsid w:val="70B336DD"/>
    <w:rsid w:val="70B35CE3"/>
    <w:rsid w:val="70B9174A"/>
    <w:rsid w:val="70BC7278"/>
    <w:rsid w:val="70C55CA7"/>
    <w:rsid w:val="70C63352"/>
    <w:rsid w:val="70C75D32"/>
    <w:rsid w:val="70CB50D0"/>
    <w:rsid w:val="70CB5BF6"/>
    <w:rsid w:val="70CB5D18"/>
    <w:rsid w:val="70CC3A8C"/>
    <w:rsid w:val="70CE665C"/>
    <w:rsid w:val="70CF2603"/>
    <w:rsid w:val="70D06587"/>
    <w:rsid w:val="70DC6707"/>
    <w:rsid w:val="70DE0DAA"/>
    <w:rsid w:val="70E07E49"/>
    <w:rsid w:val="70E17D25"/>
    <w:rsid w:val="70E4325B"/>
    <w:rsid w:val="70E51696"/>
    <w:rsid w:val="70E72F82"/>
    <w:rsid w:val="70E861B6"/>
    <w:rsid w:val="70EB5227"/>
    <w:rsid w:val="70EB6437"/>
    <w:rsid w:val="70ED230E"/>
    <w:rsid w:val="70F0453C"/>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031C0"/>
    <w:rsid w:val="713622F4"/>
    <w:rsid w:val="713A2434"/>
    <w:rsid w:val="713A4FA9"/>
    <w:rsid w:val="713C3EBC"/>
    <w:rsid w:val="713C644E"/>
    <w:rsid w:val="713D352F"/>
    <w:rsid w:val="713D4FE8"/>
    <w:rsid w:val="71401014"/>
    <w:rsid w:val="714574AC"/>
    <w:rsid w:val="714B4977"/>
    <w:rsid w:val="714F2B70"/>
    <w:rsid w:val="7153660B"/>
    <w:rsid w:val="715475D5"/>
    <w:rsid w:val="71562224"/>
    <w:rsid w:val="7156303E"/>
    <w:rsid w:val="71577303"/>
    <w:rsid w:val="71582DBE"/>
    <w:rsid w:val="71593DC8"/>
    <w:rsid w:val="715D0558"/>
    <w:rsid w:val="715E73FF"/>
    <w:rsid w:val="716518C7"/>
    <w:rsid w:val="716662E8"/>
    <w:rsid w:val="716727F7"/>
    <w:rsid w:val="71685F22"/>
    <w:rsid w:val="71691E02"/>
    <w:rsid w:val="71694B75"/>
    <w:rsid w:val="716C3BD4"/>
    <w:rsid w:val="71700F30"/>
    <w:rsid w:val="7170513A"/>
    <w:rsid w:val="71780E07"/>
    <w:rsid w:val="71782D3F"/>
    <w:rsid w:val="71794F0E"/>
    <w:rsid w:val="717C709B"/>
    <w:rsid w:val="717E1905"/>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F17DE0"/>
    <w:rsid w:val="71F22052"/>
    <w:rsid w:val="71F36FC4"/>
    <w:rsid w:val="71F40466"/>
    <w:rsid w:val="71F803DB"/>
    <w:rsid w:val="71F83B72"/>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D7F95"/>
    <w:rsid w:val="722E114C"/>
    <w:rsid w:val="723354C0"/>
    <w:rsid w:val="72344B21"/>
    <w:rsid w:val="72354351"/>
    <w:rsid w:val="723C0AAB"/>
    <w:rsid w:val="72451D53"/>
    <w:rsid w:val="724522E4"/>
    <w:rsid w:val="72473FAD"/>
    <w:rsid w:val="72483D12"/>
    <w:rsid w:val="724950AE"/>
    <w:rsid w:val="724B7A1F"/>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50257"/>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A5D42"/>
    <w:rsid w:val="72BE02EE"/>
    <w:rsid w:val="72BE210D"/>
    <w:rsid w:val="72BE3629"/>
    <w:rsid w:val="72C12700"/>
    <w:rsid w:val="72C3290F"/>
    <w:rsid w:val="72C451AD"/>
    <w:rsid w:val="72C504D5"/>
    <w:rsid w:val="72C63AD1"/>
    <w:rsid w:val="72CE677E"/>
    <w:rsid w:val="72D0669D"/>
    <w:rsid w:val="72D2563D"/>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741D90"/>
    <w:rsid w:val="73742310"/>
    <w:rsid w:val="73743D16"/>
    <w:rsid w:val="73750FEB"/>
    <w:rsid w:val="737E7117"/>
    <w:rsid w:val="73801515"/>
    <w:rsid w:val="738332ED"/>
    <w:rsid w:val="73855485"/>
    <w:rsid w:val="738966BA"/>
    <w:rsid w:val="738D5C29"/>
    <w:rsid w:val="738E32EB"/>
    <w:rsid w:val="738E5870"/>
    <w:rsid w:val="738E7C50"/>
    <w:rsid w:val="73907F00"/>
    <w:rsid w:val="73922F08"/>
    <w:rsid w:val="73934806"/>
    <w:rsid w:val="739527DB"/>
    <w:rsid w:val="73A27C94"/>
    <w:rsid w:val="73A44B0B"/>
    <w:rsid w:val="73A71C93"/>
    <w:rsid w:val="73A771E2"/>
    <w:rsid w:val="73A805C9"/>
    <w:rsid w:val="73A941D7"/>
    <w:rsid w:val="73AA046C"/>
    <w:rsid w:val="73AB5242"/>
    <w:rsid w:val="73AD615F"/>
    <w:rsid w:val="73B12246"/>
    <w:rsid w:val="73B23468"/>
    <w:rsid w:val="73B379CA"/>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90F07"/>
    <w:rsid w:val="73DC3B42"/>
    <w:rsid w:val="73DD31CA"/>
    <w:rsid w:val="73DF5A62"/>
    <w:rsid w:val="73E05DA3"/>
    <w:rsid w:val="73E1712B"/>
    <w:rsid w:val="73E70279"/>
    <w:rsid w:val="73E97555"/>
    <w:rsid w:val="73EA6B5B"/>
    <w:rsid w:val="73EB3885"/>
    <w:rsid w:val="73F06FFE"/>
    <w:rsid w:val="73F32AC4"/>
    <w:rsid w:val="73FC307C"/>
    <w:rsid w:val="73FD203B"/>
    <w:rsid w:val="7401502F"/>
    <w:rsid w:val="74035C2F"/>
    <w:rsid w:val="740C2157"/>
    <w:rsid w:val="74110A58"/>
    <w:rsid w:val="741223F3"/>
    <w:rsid w:val="741452D0"/>
    <w:rsid w:val="741A10EC"/>
    <w:rsid w:val="741C0EC7"/>
    <w:rsid w:val="741D33D9"/>
    <w:rsid w:val="741F0C8A"/>
    <w:rsid w:val="741F4133"/>
    <w:rsid w:val="74201E83"/>
    <w:rsid w:val="74223D3B"/>
    <w:rsid w:val="74237A4E"/>
    <w:rsid w:val="742C34CE"/>
    <w:rsid w:val="742D7AAC"/>
    <w:rsid w:val="742D7EF0"/>
    <w:rsid w:val="742E39ED"/>
    <w:rsid w:val="742E6CAD"/>
    <w:rsid w:val="742F71A6"/>
    <w:rsid w:val="743368CE"/>
    <w:rsid w:val="7436493B"/>
    <w:rsid w:val="743738FA"/>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7D55B2"/>
    <w:rsid w:val="74807406"/>
    <w:rsid w:val="74822FEB"/>
    <w:rsid w:val="7485169C"/>
    <w:rsid w:val="74857F60"/>
    <w:rsid w:val="74865C70"/>
    <w:rsid w:val="748D331A"/>
    <w:rsid w:val="749126F5"/>
    <w:rsid w:val="74916200"/>
    <w:rsid w:val="74942F1C"/>
    <w:rsid w:val="74981A4B"/>
    <w:rsid w:val="74991692"/>
    <w:rsid w:val="749934E5"/>
    <w:rsid w:val="749B168A"/>
    <w:rsid w:val="749C23CF"/>
    <w:rsid w:val="749D60E4"/>
    <w:rsid w:val="74A719A3"/>
    <w:rsid w:val="74AA051D"/>
    <w:rsid w:val="74AB6604"/>
    <w:rsid w:val="74AC0845"/>
    <w:rsid w:val="74B060F4"/>
    <w:rsid w:val="74BD7934"/>
    <w:rsid w:val="74BF5E77"/>
    <w:rsid w:val="74C07088"/>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42BD8"/>
    <w:rsid w:val="74E76FCC"/>
    <w:rsid w:val="74EB460F"/>
    <w:rsid w:val="74ED7B6B"/>
    <w:rsid w:val="74EF34E2"/>
    <w:rsid w:val="74F7059F"/>
    <w:rsid w:val="74FA6E85"/>
    <w:rsid w:val="74FC55B2"/>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70F2"/>
    <w:rsid w:val="753A5176"/>
    <w:rsid w:val="753B1C65"/>
    <w:rsid w:val="753E6974"/>
    <w:rsid w:val="75425B7B"/>
    <w:rsid w:val="75484A46"/>
    <w:rsid w:val="755068B1"/>
    <w:rsid w:val="75522400"/>
    <w:rsid w:val="75535516"/>
    <w:rsid w:val="7558021F"/>
    <w:rsid w:val="75582025"/>
    <w:rsid w:val="755A02E1"/>
    <w:rsid w:val="755A45B1"/>
    <w:rsid w:val="755C6AC8"/>
    <w:rsid w:val="755D6C2F"/>
    <w:rsid w:val="756103A4"/>
    <w:rsid w:val="75632407"/>
    <w:rsid w:val="75653FF8"/>
    <w:rsid w:val="756C612D"/>
    <w:rsid w:val="756D06E2"/>
    <w:rsid w:val="7570181F"/>
    <w:rsid w:val="75725287"/>
    <w:rsid w:val="757255CF"/>
    <w:rsid w:val="757331C6"/>
    <w:rsid w:val="75742A4A"/>
    <w:rsid w:val="75764242"/>
    <w:rsid w:val="757856F7"/>
    <w:rsid w:val="757A55A8"/>
    <w:rsid w:val="757D259B"/>
    <w:rsid w:val="757D5B0D"/>
    <w:rsid w:val="757E59E5"/>
    <w:rsid w:val="758421E3"/>
    <w:rsid w:val="75860D58"/>
    <w:rsid w:val="7587038F"/>
    <w:rsid w:val="75887A18"/>
    <w:rsid w:val="758C6A4A"/>
    <w:rsid w:val="7592731A"/>
    <w:rsid w:val="75936744"/>
    <w:rsid w:val="75941DEA"/>
    <w:rsid w:val="75974966"/>
    <w:rsid w:val="759D7D8B"/>
    <w:rsid w:val="75A4474D"/>
    <w:rsid w:val="75A72B01"/>
    <w:rsid w:val="75AA0663"/>
    <w:rsid w:val="75AB713D"/>
    <w:rsid w:val="75AE7DC1"/>
    <w:rsid w:val="75AF22EA"/>
    <w:rsid w:val="75B52F82"/>
    <w:rsid w:val="75B6003E"/>
    <w:rsid w:val="75B82788"/>
    <w:rsid w:val="75B9743A"/>
    <w:rsid w:val="75BE37B3"/>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42118"/>
    <w:rsid w:val="75E824E7"/>
    <w:rsid w:val="75E83113"/>
    <w:rsid w:val="75EB1488"/>
    <w:rsid w:val="75EB77B7"/>
    <w:rsid w:val="75EC46AA"/>
    <w:rsid w:val="75EE220D"/>
    <w:rsid w:val="75F22795"/>
    <w:rsid w:val="75F268ED"/>
    <w:rsid w:val="75F426A1"/>
    <w:rsid w:val="75FA5625"/>
    <w:rsid w:val="7603097C"/>
    <w:rsid w:val="760309EA"/>
    <w:rsid w:val="760747F6"/>
    <w:rsid w:val="760754DF"/>
    <w:rsid w:val="76084E83"/>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411CC"/>
    <w:rsid w:val="76773269"/>
    <w:rsid w:val="76786531"/>
    <w:rsid w:val="768420AB"/>
    <w:rsid w:val="7684316F"/>
    <w:rsid w:val="7687303E"/>
    <w:rsid w:val="768900AB"/>
    <w:rsid w:val="768E7D22"/>
    <w:rsid w:val="768F08C3"/>
    <w:rsid w:val="768F5369"/>
    <w:rsid w:val="768F55A2"/>
    <w:rsid w:val="7690584C"/>
    <w:rsid w:val="7692552C"/>
    <w:rsid w:val="76931EFE"/>
    <w:rsid w:val="7696022E"/>
    <w:rsid w:val="7699559D"/>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6330F"/>
    <w:rsid w:val="76B84A6B"/>
    <w:rsid w:val="76B96C04"/>
    <w:rsid w:val="76BA2870"/>
    <w:rsid w:val="76C02B01"/>
    <w:rsid w:val="76C27348"/>
    <w:rsid w:val="76C27FE1"/>
    <w:rsid w:val="76C372FE"/>
    <w:rsid w:val="76C46139"/>
    <w:rsid w:val="76CD6211"/>
    <w:rsid w:val="76CE4514"/>
    <w:rsid w:val="76D1078A"/>
    <w:rsid w:val="76D127E6"/>
    <w:rsid w:val="76D1490A"/>
    <w:rsid w:val="76D171BB"/>
    <w:rsid w:val="76D203C4"/>
    <w:rsid w:val="76D31094"/>
    <w:rsid w:val="76D41890"/>
    <w:rsid w:val="76D46521"/>
    <w:rsid w:val="76D91F00"/>
    <w:rsid w:val="76DD2C7E"/>
    <w:rsid w:val="76E039E1"/>
    <w:rsid w:val="76E26FB6"/>
    <w:rsid w:val="76E34ABF"/>
    <w:rsid w:val="76ED64CE"/>
    <w:rsid w:val="76F2395E"/>
    <w:rsid w:val="76F31266"/>
    <w:rsid w:val="76F40149"/>
    <w:rsid w:val="76FC0D3E"/>
    <w:rsid w:val="76FD3333"/>
    <w:rsid w:val="77000FA8"/>
    <w:rsid w:val="77036484"/>
    <w:rsid w:val="77040D4E"/>
    <w:rsid w:val="77063A55"/>
    <w:rsid w:val="770E76EF"/>
    <w:rsid w:val="7713369E"/>
    <w:rsid w:val="77137720"/>
    <w:rsid w:val="771615BC"/>
    <w:rsid w:val="77201F5A"/>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93427"/>
    <w:rsid w:val="775B11C5"/>
    <w:rsid w:val="775E5354"/>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A2783"/>
    <w:rsid w:val="779E2251"/>
    <w:rsid w:val="77A64136"/>
    <w:rsid w:val="77A67B3A"/>
    <w:rsid w:val="77A946BE"/>
    <w:rsid w:val="77AB17FD"/>
    <w:rsid w:val="77AE069A"/>
    <w:rsid w:val="77AE4FBA"/>
    <w:rsid w:val="77B01BAD"/>
    <w:rsid w:val="77B4657B"/>
    <w:rsid w:val="77B55F2E"/>
    <w:rsid w:val="77BB3206"/>
    <w:rsid w:val="77BD5588"/>
    <w:rsid w:val="77C74FC7"/>
    <w:rsid w:val="77C83D3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F596B"/>
    <w:rsid w:val="78001196"/>
    <w:rsid w:val="780159B4"/>
    <w:rsid w:val="7802420E"/>
    <w:rsid w:val="78050D6A"/>
    <w:rsid w:val="78053417"/>
    <w:rsid w:val="78087E34"/>
    <w:rsid w:val="780C677C"/>
    <w:rsid w:val="780D1D66"/>
    <w:rsid w:val="780D279D"/>
    <w:rsid w:val="780F6389"/>
    <w:rsid w:val="781047B3"/>
    <w:rsid w:val="78124948"/>
    <w:rsid w:val="78130624"/>
    <w:rsid w:val="78162685"/>
    <w:rsid w:val="7816305B"/>
    <w:rsid w:val="78173B7F"/>
    <w:rsid w:val="781B7F02"/>
    <w:rsid w:val="781D69C8"/>
    <w:rsid w:val="781E745B"/>
    <w:rsid w:val="781F0149"/>
    <w:rsid w:val="781F21E5"/>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61255"/>
    <w:rsid w:val="785829AF"/>
    <w:rsid w:val="78595BAE"/>
    <w:rsid w:val="78597CBA"/>
    <w:rsid w:val="785F3235"/>
    <w:rsid w:val="78604E64"/>
    <w:rsid w:val="78615B81"/>
    <w:rsid w:val="786210FA"/>
    <w:rsid w:val="786A223C"/>
    <w:rsid w:val="786F0696"/>
    <w:rsid w:val="786F2998"/>
    <w:rsid w:val="78742D15"/>
    <w:rsid w:val="787711D6"/>
    <w:rsid w:val="78780968"/>
    <w:rsid w:val="787F28F7"/>
    <w:rsid w:val="78836E78"/>
    <w:rsid w:val="78840300"/>
    <w:rsid w:val="78846954"/>
    <w:rsid w:val="788673F4"/>
    <w:rsid w:val="78884A63"/>
    <w:rsid w:val="7888750B"/>
    <w:rsid w:val="788E14AC"/>
    <w:rsid w:val="788E3893"/>
    <w:rsid w:val="789913C0"/>
    <w:rsid w:val="789B2B21"/>
    <w:rsid w:val="789F22F8"/>
    <w:rsid w:val="78A21CD4"/>
    <w:rsid w:val="78A91515"/>
    <w:rsid w:val="78AE68BC"/>
    <w:rsid w:val="78B1362F"/>
    <w:rsid w:val="78B24361"/>
    <w:rsid w:val="78B642AE"/>
    <w:rsid w:val="78BF506C"/>
    <w:rsid w:val="78C40C88"/>
    <w:rsid w:val="78C551A0"/>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328F1"/>
    <w:rsid w:val="78F46E96"/>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4187C"/>
    <w:rsid w:val="7914358D"/>
    <w:rsid w:val="79145FD5"/>
    <w:rsid w:val="7916289C"/>
    <w:rsid w:val="79170A7E"/>
    <w:rsid w:val="7919229C"/>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A529A"/>
    <w:rsid w:val="793A6FE7"/>
    <w:rsid w:val="793E3F5B"/>
    <w:rsid w:val="79407FE6"/>
    <w:rsid w:val="79454FCA"/>
    <w:rsid w:val="794562E9"/>
    <w:rsid w:val="794A3445"/>
    <w:rsid w:val="794D313C"/>
    <w:rsid w:val="794D485A"/>
    <w:rsid w:val="79547BF1"/>
    <w:rsid w:val="79550839"/>
    <w:rsid w:val="795667EE"/>
    <w:rsid w:val="795A1670"/>
    <w:rsid w:val="795A2C3D"/>
    <w:rsid w:val="795D3CAD"/>
    <w:rsid w:val="79641653"/>
    <w:rsid w:val="79664C14"/>
    <w:rsid w:val="79674257"/>
    <w:rsid w:val="79691F7C"/>
    <w:rsid w:val="796A3FDB"/>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54650"/>
    <w:rsid w:val="79905881"/>
    <w:rsid w:val="7993078C"/>
    <w:rsid w:val="79940327"/>
    <w:rsid w:val="79986787"/>
    <w:rsid w:val="799930BE"/>
    <w:rsid w:val="799E0FC1"/>
    <w:rsid w:val="799E52E5"/>
    <w:rsid w:val="79A06AD3"/>
    <w:rsid w:val="79A50A5D"/>
    <w:rsid w:val="79A51635"/>
    <w:rsid w:val="79AB3E50"/>
    <w:rsid w:val="79AC02B0"/>
    <w:rsid w:val="79AC0682"/>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A76C5"/>
    <w:rsid w:val="79DB0E9F"/>
    <w:rsid w:val="79DB1BA4"/>
    <w:rsid w:val="79DC0742"/>
    <w:rsid w:val="79E27422"/>
    <w:rsid w:val="79E83360"/>
    <w:rsid w:val="79EA0FFD"/>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D3963"/>
    <w:rsid w:val="7A232C0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6DC"/>
    <w:rsid w:val="7A5A282C"/>
    <w:rsid w:val="7A5C0B25"/>
    <w:rsid w:val="7A5D3ACB"/>
    <w:rsid w:val="7A5E093F"/>
    <w:rsid w:val="7A64326A"/>
    <w:rsid w:val="7A671FF3"/>
    <w:rsid w:val="7A6B55D8"/>
    <w:rsid w:val="7A6C0035"/>
    <w:rsid w:val="7A6C459A"/>
    <w:rsid w:val="7A6E2388"/>
    <w:rsid w:val="7A6F4756"/>
    <w:rsid w:val="7A707995"/>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33667"/>
    <w:rsid w:val="7AB41013"/>
    <w:rsid w:val="7AB86ED1"/>
    <w:rsid w:val="7AB8771C"/>
    <w:rsid w:val="7AB9157A"/>
    <w:rsid w:val="7ABE7545"/>
    <w:rsid w:val="7AC008E5"/>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95A0E"/>
    <w:rsid w:val="7AEC7EBF"/>
    <w:rsid w:val="7AF11D63"/>
    <w:rsid w:val="7AF16984"/>
    <w:rsid w:val="7AF67F29"/>
    <w:rsid w:val="7AFD3F33"/>
    <w:rsid w:val="7B006BE9"/>
    <w:rsid w:val="7B014B54"/>
    <w:rsid w:val="7B0330C9"/>
    <w:rsid w:val="7B094C1A"/>
    <w:rsid w:val="7B0B7491"/>
    <w:rsid w:val="7B127E44"/>
    <w:rsid w:val="7B145D8D"/>
    <w:rsid w:val="7B1672BC"/>
    <w:rsid w:val="7B1C3518"/>
    <w:rsid w:val="7B2058A4"/>
    <w:rsid w:val="7B221D52"/>
    <w:rsid w:val="7B274D49"/>
    <w:rsid w:val="7B280810"/>
    <w:rsid w:val="7B28618E"/>
    <w:rsid w:val="7B2D137C"/>
    <w:rsid w:val="7B307E45"/>
    <w:rsid w:val="7B321AA8"/>
    <w:rsid w:val="7B327380"/>
    <w:rsid w:val="7B3714AA"/>
    <w:rsid w:val="7B374F6A"/>
    <w:rsid w:val="7B422126"/>
    <w:rsid w:val="7B42499F"/>
    <w:rsid w:val="7B4310C8"/>
    <w:rsid w:val="7B483ECF"/>
    <w:rsid w:val="7B4A2715"/>
    <w:rsid w:val="7B582490"/>
    <w:rsid w:val="7B585304"/>
    <w:rsid w:val="7B586292"/>
    <w:rsid w:val="7B5B3475"/>
    <w:rsid w:val="7B5C36C7"/>
    <w:rsid w:val="7B5D2270"/>
    <w:rsid w:val="7B611FDD"/>
    <w:rsid w:val="7B6426D2"/>
    <w:rsid w:val="7B661228"/>
    <w:rsid w:val="7B6B1AD3"/>
    <w:rsid w:val="7B6B4049"/>
    <w:rsid w:val="7B6E4B64"/>
    <w:rsid w:val="7B710A31"/>
    <w:rsid w:val="7B750031"/>
    <w:rsid w:val="7B7761D9"/>
    <w:rsid w:val="7B7C146C"/>
    <w:rsid w:val="7B836939"/>
    <w:rsid w:val="7B877C54"/>
    <w:rsid w:val="7B8931F7"/>
    <w:rsid w:val="7B9053BA"/>
    <w:rsid w:val="7B9134BD"/>
    <w:rsid w:val="7B9144EC"/>
    <w:rsid w:val="7B9733BF"/>
    <w:rsid w:val="7B9A2C6C"/>
    <w:rsid w:val="7B9B3460"/>
    <w:rsid w:val="7BA61F7D"/>
    <w:rsid w:val="7BAF5CE2"/>
    <w:rsid w:val="7BB01690"/>
    <w:rsid w:val="7BB16351"/>
    <w:rsid w:val="7BB17A2E"/>
    <w:rsid w:val="7BB34904"/>
    <w:rsid w:val="7BB62F65"/>
    <w:rsid w:val="7BB70181"/>
    <w:rsid w:val="7BB80CEC"/>
    <w:rsid w:val="7BB97C3C"/>
    <w:rsid w:val="7BC306CD"/>
    <w:rsid w:val="7BC424BC"/>
    <w:rsid w:val="7BC42D54"/>
    <w:rsid w:val="7BC4535B"/>
    <w:rsid w:val="7BC46081"/>
    <w:rsid w:val="7BC50549"/>
    <w:rsid w:val="7BC73A57"/>
    <w:rsid w:val="7BCB16C3"/>
    <w:rsid w:val="7BCB22CD"/>
    <w:rsid w:val="7BCC298F"/>
    <w:rsid w:val="7BD0094A"/>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A02FC"/>
    <w:rsid w:val="7BFD241F"/>
    <w:rsid w:val="7C04475F"/>
    <w:rsid w:val="7C066981"/>
    <w:rsid w:val="7C0774FA"/>
    <w:rsid w:val="7C0847FB"/>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04F8D"/>
    <w:rsid w:val="7C460C8B"/>
    <w:rsid w:val="7C48163E"/>
    <w:rsid w:val="7C5063DF"/>
    <w:rsid w:val="7C511995"/>
    <w:rsid w:val="7C545CDB"/>
    <w:rsid w:val="7C546220"/>
    <w:rsid w:val="7C54661F"/>
    <w:rsid w:val="7C566CDE"/>
    <w:rsid w:val="7C57216D"/>
    <w:rsid w:val="7C5870C1"/>
    <w:rsid w:val="7C5A4A36"/>
    <w:rsid w:val="7C5B25F7"/>
    <w:rsid w:val="7C5E6471"/>
    <w:rsid w:val="7C621F85"/>
    <w:rsid w:val="7C63439C"/>
    <w:rsid w:val="7C650448"/>
    <w:rsid w:val="7C683229"/>
    <w:rsid w:val="7C6A6170"/>
    <w:rsid w:val="7C6F28E2"/>
    <w:rsid w:val="7C7105A4"/>
    <w:rsid w:val="7C726267"/>
    <w:rsid w:val="7C7335BF"/>
    <w:rsid w:val="7C7674F4"/>
    <w:rsid w:val="7C777A61"/>
    <w:rsid w:val="7C7D4F7C"/>
    <w:rsid w:val="7C81636D"/>
    <w:rsid w:val="7C822B07"/>
    <w:rsid w:val="7C8727C2"/>
    <w:rsid w:val="7C90740A"/>
    <w:rsid w:val="7C9317D9"/>
    <w:rsid w:val="7C9711B4"/>
    <w:rsid w:val="7C9C360F"/>
    <w:rsid w:val="7C9D36AC"/>
    <w:rsid w:val="7CA30393"/>
    <w:rsid w:val="7CA36ACC"/>
    <w:rsid w:val="7CA75D00"/>
    <w:rsid w:val="7CAE532D"/>
    <w:rsid w:val="7CAE73DF"/>
    <w:rsid w:val="7CB23B59"/>
    <w:rsid w:val="7CB57BA0"/>
    <w:rsid w:val="7CB751E1"/>
    <w:rsid w:val="7CB75F84"/>
    <w:rsid w:val="7CBB5935"/>
    <w:rsid w:val="7CBD5E1E"/>
    <w:rsid w:val="7CC15FE7"/>
    <w:rsid w:val="7CC205E6"/>
    <w:rsid w:val="7CC669BF"/>
    <w:rsid w:val="7CCB5CB6"/>
    <w:rsid w:val="7CD05788"/>
    <w:rsid w:val="7CD93DD4"/>
    <w:rsid w:val="7CDB126F"/>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1259E9"/>
    <w:rsid w:val="7D144011"/>
    <w:rsid w:val="7D155CA8"/>
    <w:rsid w:val="7D1727E4"/>
    <w:rsid w:val="7D1E136C"/>
    <w:rsid w:val="7D1E6F60"/>
    <w:rsid w:val="7D2840E2"/>
    <w:rsid w:val="7D287D2A"/>
    <w:rsid w:val="7D292ECD"/>
    <w:rsid w:val="7D2A61F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516F35"/>
    <w:rsid w:val="7D5356AC"/>
    <w:rsid w:val="7D563004"/>
    <w:rsid w:val="7D590603"/>
    <w:rsid w:val="7D5C141B"/>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693E"/>
    <w:rsid w:val="7D8A3AB9"/>
    <w:rsid w:val="7D8F1815"/>
    <w:rsid w:val="7D930D9E"/>
    <w:rsid w:val="7D931DE0"/>
    <w:rsid w:val="7D933008"/>
    <w:rsid w:val="7D965341"/>
    <w:rsid w:val="7D977690"/>
    <w:rsid w:val="7D9A4D3B"/>
    <w:rsid w:val="7D9C12A6"/>
    <w:rsid w:val="7DA1614E"/>
    <w:rsid w:val="7DA40D12"/>
    <w:rsid w:val="7DA80D27"/>
    <w:rsid w:val="7DAA0538"/>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62E14"/>
    <w:rsid w:val="7DDB20E4"/>
    <w:rsid w:val="7DDC5CAE"/>
    <w:rsid w:val="7DDD3C58"/>
    <w:rsid w:val="7DDD441F"/>
    <w:rsid w:val="7DDE134F"/>
    <w:rsid w:val="7DDF26CF"/>
    <w:rsid w:val="7DE004E0"/>
    <w:rsid w:val="7DE041BE"/>
    <w:rsid w:val="7DE10B81"/>
    <w:rsid w:val="7DE34612"/>
    <w:rsid w:val="7DE65F8C"/>
    <w:rsid w:val="7DE8222D"/>
    <w:rsid w:val="7DEB122E"/>
    <w:rsid w:val="7DED08C0"/>
    <w:rsid w:val="7DED1CC1"/>
    <w:rsid w:val="7DF17546"/>
    <w:rsid w:val="7DF66782"/>
    <w:rsid w:val="7DF8690E"/>
    <w:rsid w:val="7E043332"/>
    <w:rsid w:val="7E043D3E"/>
    <w:rsid w:val="7E0729B2"/>
    <w:rsid w:val="7E0B6BD7"/>
    <w:rsid w:val="7E11118F"/>
    <w:rsid w:val="7E1B21BA"/>
    <w:rsid w:val="7E1B5003"/>
    <w:rsid w:val="7E202716"/>
    <w:rsid w:val="7E210E16"/>
    <w:rsid w:val="7E29492D"/>
    <w:rsid w:val="7E2E590D"/>
    <w:rsid w:val="7E2F3BBF"/>
    <w:rsid w:val="7E3164FE"/>
    <w:rsid w:val="7E3343BE"/>
    <w:rsid w:val="7E354816"/>
    <w:rsid w:val="7E377A41"/>
    <w:rsid w:val="7E383FF6"/>
    <w:rsid w:val="7E3B472D"/>
    <w:rsid w:val="7E3B5993"/>
    <w:rsid w:val="7E420CEA"/>
    <w:rsid w:val="7E445899"/>
    <w:rsid w:val="7E4612D2"/>
    <w:rsid w:val="7E467EE0"/>
    <w:rsid w:val="7E480029"/>
    <w:rsid w:val="7E4C6AF4"/>
    <w:rsid w:val="7E4E59A1"/>
    <w:rsid w:val="7E501235"/>
    <w:rsid w:val="7E50643B"/>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92251"/>
    <w:rsid w:val="7EC9718D"/>
    <w:rsid w:val="7ECB1C24"/>
    <w:rsid w:val="7ECF1F3E"/>
    <w:rsid w:val="7ED27351"/>
    <w:rsid w:val="7ED4491A"/>
    <w:rsid w:val="7ED61786"/>
    <w:rsid w:val="7ED97E54"/>
    <w:rsid w:val="7EDA1656"/>
    <w:rsid w:val="7EDB2F36"/>
    <w:rsid w:val="7EDB452D"/>
    <w:rsid w:val="7EDC652F"/>
    <w:rsid w:val="7EDF109A"/>
    <w:rsid w:val="7EE413E6"/>
    <w:rsid w:val="7EE54C6A"/>
    <w:rsid w:val="7EE70BC1"/>
    <w:rsid w:val="7EEA3A6B"/>
    <w:rsid w:val="7EF210A1"/>
    <w:rsid w:val="7EF326EE"/>
    <w:rsid w:val="7EF35C84"/>
    <w:rsid w:val="7EFB15E7"/>
    <w:rsid w:val="7EFB73D5"/>
    <w:rsid w:val="7F0429EA"/>
    <w:rsid w:val="7F0A4AEC"/>
    <w:rsid w:val="7F0D475B"/>
    <w:rsid w:val="7F122A84"/>
    <w:rsid w:val="7F130D42"/>
    <w:rsid w:val="7F1659B3"/>
    <w:rsid w:val="7F173A8A"/>
    <w:rsid w:val="7F1B092A"/>
    <w:rsid w:val="7F1C06C1"/>
    <w:rsid w:val="7F1F2CD5"/>
    <w:rsid w:val="7F202501"/>
    <w:rsid w:val="7F207EA4"/>
    <w:rsid w:val="7F25027A"/>
    <w:rsid w:val="7F255574"/>
    <w:rsid w:val="7F2B66DD"/>
    <w:rsid w:val="7F2C7D9A"/>
    <w:rsid w:val="7F2D0D57"/>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50801"/>
    <w:rsid w:val="7F592E83"/>
    <w:rsid w:val="7F63146E"/>
    <w:rsid w:val="7F652FC3"/>
    <w:rsid w:val="7F65742B"/>
    <w:rsid w:val="7F720DFB"/>
    <w:rsid w:val="7F740400"/>
    <w:rsid w:val="7F7A0B58"/>
    <w:rsid w:val="7F7F111A"/>
    <w:rsid w:val="7F800A89"/>
    <w:rsid w:val="7F8125F1"/>
    <w:rsid w:val="7F813CBA"/>
    <w:rsid w:val="7F882981"/>
    <w:rsid w:val="7F8A1F60"/>
    <w:rsid w:val="7F8C41C2"/>
    <w:rsid w:val="7F9273F2"/>
    <w:rsid w:val="7F9815CA"/>
    <w:rsid w:val="7F9B2F2A"/>
    <w:rsid w:val="7F9D5A69"/>
    <w:rsid w:val="7F9D6865"/>
    <w:rsid w:val="7F9D7279"/>
    <w:rsid w:val="7FA236B3"/>
    <w:rsid w:val="7FA252EE"/>
    <w:rsid w:val="7FA34C3A"/>
    <w:rsid w:val="7FA72463"/>
    <w:rsid w:val="7FA811F4"/>
    <w:rsid w:val="7FB062FF"/>
    <w:rsid w:val="7FB21E7B"/>
    <w:rsid w:val="7FB80389"/>
    <w:rsid w:val="7FBF6447"/>
    <w:rsid w:val="7FC31381"/>
    <w:rsid w:val="7FC441A9"/>
    <w:rsid w:val="7FC6202E"/>
    <w:rsid w:val="7FC9033D"/>
    <w:rsid w:val="7FC922DA"/>
    <w:rsid w:val="7FCD2732"/>
    <w:rsid w:val="7FCE2401"/>
    <w:rsid w:val="7FCE46AF"/>
    <w:rsid w:val="7FD23D65"/>
    <w:rsid w:val="7FD47013"/>
    <w:rsid w:val="7FD70E32"/>
    <w:rsid w:val="7FDA3F71"/>
    <w:rsid w:val="7FE04EAD"/>
    <w:rsid w:val="7FE564FC"/>
    <w:rsid w:val="7FE73E06"/>
    <w:rsid w:val="7FEB17F9"/>
    <w:rsid w:val="7FED4506"/>
    <w:rsid w:val="7FED7BA4"/>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64"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5"/>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7"/>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6"/>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0"/>
    <w:qFormat/>
    <w:uiPriority w:val="0"/>
    <w:pPr>
      <w:outlineLvl w:val="4"/>
    </w:pPr>
    <w:rPr>
      <w:szCs w:val="24"/>
    </w:rPr>
  </w:style>
  <w:style w:type="paragraph" w:styleId="7">
    <w:name w:val="heading 6"/>
    <w:basedOn w:val="1"/>
    <w:next w:val="1"/>
    <w:link w:val="95"/>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6"/>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3"/>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7"/>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1"/>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8"/>
    <w:qFormat/>
    <w:uiPriority w:val="0"/>
    <w:pPr>
      <w:widowControl w:val="0"/>
    </w:pPr>
    <w:rPr>
      <w:color w:val="000000"/>
      <w:kern w:val="2"/>
      <w:sz w:val="21"/>
      <w:szCs w:val="20"/>
    </w:rPr>
  </w:style>
  <w:style w:type="paragraph" w:styleId="17">
    <w:name w:val="Body Text Indent"/>
    <w:basedOn w:val="1"/>
    <w:link w:val="102"/>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8"/>
    <w:unhideWhenUsed/>
    <w:qFormat/>
    <w:uiPriority w:val="99"/>
    <w:rPr>
      <w:rFonts w:eastAsia="Calibri"/>
      <w:szCs w:val="21"/>
      <w:lang w:eastAsia="en-US"/>
    </w:rPr>
  </w:style>
  <w:style w:type="paragraph" w:styleId="21">
    <w:name w:val="Date"/>
    <w:basedOn w:val="1"/>
    <w:next w:val="1"/>
    <w:link w:val="89"/>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105"/>
    <w:unhideWhenUsed/>
    <w:qFormat/>
    <w:uiPriority w:val="99"/>
    <w:pPr>
      <w:tabs>
        <w:tab w:val="center" w:pos="4153"/>
        <w:tab w:val="right" w:pos="8306"/>
      </w:tabs>
    </w:pPr>
    <w:rPr>
      <w:sz w:val="18"/>
      <w:szCs w:val="18"/>
    </w:rPr>
  </w:style>
  <w:style w:type="paragraph" w:styleId="24">
    <w:name w:val="header"/>
    <w:basedOn w:val="1"/>
    <w:link w:val="93"/>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Balloon Text Char"/>
    <w:link w:val="22"/>
    <w:semiHidden/>
    <w:qFormat/>
    <w:uiPriority w:val="99"/>
    <w:rPr>
      <w:rFonts w:ascii="Tahoma" w:hAnsi="Tahoma" w:cs="Tahoma"/>
      <w:sz w:val="16"/>
      <w:szCs w:val="16"/>
    </w:rPr>
  </w:style>
  <w:style w:type="character" w:customStyle="1" w:styleId="35">
    <w:name w:val="Heading 2 Char"/>
    <w:link w:val="3"/>
    <w:qFormat/>
    <w:uiPriority w:val="0"/>
    <w:rPr>
      <w:rFonts w:ascii="Times New Roman" w:hAnsi="Times New Roman" w:eastAsia="宋体"/>
      <w:b/>
      <w:bCs/>
      <w:kern w:val="2"/>
      <w:sz w:val="24"/>
      <w:szCs w:val="24"/>
      <w:lang w:val="zh-CN"/>
    </w:rPr>
  </w:style>
  <w:style w:type="character" w:customStyle="1" w:styleId="36">
    <w:name w:val="Heading 1 Char"/>
    <w:link w:val="2"/>
    <w:qFormat/>
    <w:uiPriority w:val="99"/>
    <w:rPr>
      <w:rFonts w:ascii="Times New Roman" w:hAnsi="Times New Roman" w:eastAsia="黑体"/>
      <w:b/>
      <w:bCs/>
      <w:sz w:val="30"/>
      <w:szCs w:val="30"/>
      <w:lang w:val="zh-CN" w:eastAsia="zh-CN"/>
    </w:rPr>
  </w:style>
  <w:style w:type="character" w:customStyle="1" w:styleId="37">
    <w:name w:val="Heading 3 Char"/>
    <w:link w:val="4"/>
    <w:qFormat/>
    <w:uiPriority w:val="9"/>
    <w:rPr>
      <w:rFonts w:ascii="Times New Roman" w:hAnsi="Times New Roman" w:eastAsia="宋体"/>
      <w:b/>
      <w:bCs/>
      <w:sz w:val="22"/>
      <w:szCs w:val="32"/>
      <w:lang w:val="en-US" w:eastAsia="zh-CN"/>
    </w:rPr>
  </w:style>
  <w:style w:type="paragraph" w:customStyle="1" w:styleId="38">
    <w:name w:val="TH"/>
    <w:basedOn w:val="1"/>
    <w:link w:val="87"/>
    <w:qFormat/>
    <w:uiPriority w:val="0"/>
    <w:pPr>
      <w:keepNext/>
      <w:keepLines/>
      <w:spacing w:before="60" w:after="180"/>
      <w:jc w:val="center"/>
    </w:pPr>
    <w:rPr>
      <w:rFonts w:ascii="Arial" w:hAnsi="Arial"/>
      <w:b/>
      <w:szCs w:val="20"/>
      <w:lang w:eastAsia="en-US"/>
    </w:rPr>
  </w:style>
  <w:style w:type="paragraph" w:customStyle="1" w:styleId="39">
    <w:name w:val="列出段落5"/>
    <w:basedOn w:val="1"/>
    <w:unhideWhenUsed/>
    <w:qFormat/>
    <w:uiPriority w:val="99"/>
    <w:pPr>
      <w:ind w:firstLine="420" w:firstLineChars="200"/>
    </w:pPr>
  </w:style>
  <w:style w:type="paragraph" w:customStyle="1" w:styleId="40">
    <w:name w:val="EQ"/>
    <w:basedOn w:val="1"/>
    <w:next w:val="1"/>
    <w:qFormat/>
    <w:uiPriority w:val="0"/>
    <w:pPr>
      <w:keepLines/>
      <w:tabs>
        <w:tab w:val="center" w:pos="4536"/>
        <w:tab w:val="right" w:pos="9072"/>
      </w:tabs>
      <w:overflowPunct w:val="0"/>
      <w:spacing w:after="180"/>
      <w:textAlignment w:val="baseline"/>
    </w:pPr>
  </w:style>
  <w:style w:type="paragraph" w:customStyle="1" w:styleId="41">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2">
    <w:name w:val="List Paragraph5"/>
    <w:basedOn w:val="1"/>
    <w:qFormat/>
    <w:uiPriority w:val="99"/>
    <w:pPr>
      <w:ind w:firstLine="420" w:firstLineChars="200"/>
    </w:pPr>
  </w:style>
  <w:style w:type="paragraph" w:customStyle="1" w:styleId="43">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4">
    <w:name w:val="TAH"/>
    <w:basedOn w:val="45"/>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5">
    <w:name w:val="TAC"/>
    <w:basedOn w:val="46"/>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6">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7">
    <w:name w:val="列出段落4"/>
    <w:basedOn w:val="1"/>
    <w:qFormat/>
    <w:uiPriority w:val="99"/>
    <w:pPr>
      <w:ind w:firstLine="420" w:firstLineChars="200"/>
    </w:pPr>
  </w:style>
  <w:style w:type="paragraph" w:customStyle="1" w:styleId="48">
    <w:name w:val="LGTdoc_본문"/>
    <w:basedOn w:val="1"/>
    <w:qFormat/>
    <w:uiPriority w:val="0"/>
    <w:pPr>
      <w:widowControl w:val="0"/>
      <w:autoSpaceDE w:val="0"/>
      <w:autoSpaceDN w:val="0"/>
    </w:pPr>
    <w:rPr>
      <w:kern w:val="2"/>
      <w:sz w:val="22"/>
      <w:lang w:eastAsia="ko-KR"/>
    </w:rPr>
  </w:style>
  <w:style w:type="paragraph" w:customStyle="1" w:styleId="4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0">
    <w:name w:val="TAN"/>
    <w:basedOn w:val="1"/>
    <w:qFormat/>
    <w:uiPriority w:val="0"/>
    <w:pPr>
      <w:keepNext/>
      <w:keepLines/>
      <w:ind w:left="851" w:hanging="851"/>
    </w:pPr>
    <w:rPr>
      <w:rFonts w:ascii="Arial" w:hAnsi="Arial"/>
      <w:sz w:val="18"/>
      <w:szCs w:val="20"/>
      <w:lang w:eastAsia="en-US"/>
    </w:rPr>
  </w:style>
  <w:style w:type="paragraph" w:styleId="51">
    <w:name w:val="List Paragraph"/>
    <w:basedOn w:val="1"/>
    <w:link w:val="118"/>
    <w:qFormat/>
    <w:uiPriority w:val="34"/>
    <w:pPr>
      <w:ind w:left="840" w:leftChars="400"/>
    </w:pPr>
    <w:rPr>
      <w:rFonts w:ascii="Times" w:hAnsi="Times" w:eastAsia="Batang"/>
      <w:szCs w:val="24"/>
      <w:lang w:val="en-GB"/>
    </w:rPr>
  </w:style>
  <w:style w:type="paragraph" w:customStyle="1" w:styleId="52">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3">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4">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5">
    <w:name w:val="List Paragraph3"/>
    <w:basedOn w:val="1"/>
    <w:qFormat/>
    <w:uiPriority w:val="99"/>
    <w:pPr>
      <w:ind w:firstLine="420" w:firstLineChars="200"/>
    </w:pPr>
  </w:style>
  <w:style w:type="paragraph" w:customStyle="1" w:styleId="56">
    <w:name w:val="Doc-text2"/>
    <w:basedOn w:val="1"/>
    <w:link w:val="112"/>
    <w:qFormat/>
    <w:uiPriority w:val="0"/>
    <w:pPr>
      <w:tabs>
        <w:tab w:val="left" w:pos="1622"/>
      </w:tabs>
      <w:ind w:left="1622" w:hanging="363"/>
    </w:pPr>
    <w:rPr>
      <w:rFonts w:ascii="Arial" w:hAnsi="Arial" w:eastAsia="MS Mincho"/>
      <w:szCs w:val="24"/>
    </w:rPr>
  </w:style>
  <w:style w:type="paragraph" w:customStyle="1" w:styleId="57">
    <w:name w:val="B2"/>
    <w:basedOn w:val="18"/>
    <w:qFormat/>
    <w:uiPriority w:val="0"/>
  </w:style>
  <w:style w:type="paragraph" w:customStyle="1" w:styleId="58">
    <w:name w:val="TF"/>
    <w:basedOn w:val="38"/>
    <w:link w:val="94"/>
    <w:qFormat/>
    <w:uiPriority w:val="0"/>
    <w:pPr>
      <w:keepNext w:val="0"/>
      <w:spacing w:before="0" w:after="240"/>
    </w:pPr>
    <w:rPr>
      <w:lang w:val="en-GB"/>
    </w:rPr>
  </w:style>
  <w:style w:type="paragraph" w:customStyle="1" w:styleId="59">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60">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1">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2">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3">
    <w:name w:val="B3"/>
    <w:basedOn w:val="11"/>
    <w:qFormat/>
    <w:uiPriority w:val="0"/>
    <w:pPr>
      <w:spacing w:after="180"/>
      <w:ind w:left="1135" w:leftChars="0" w:hanging="284" w:firstLineChars="0"/>
    </w:pPr>
    <w:rPr>
      <w:rFonts w:eastAsia="MS Mincho"/>
      <w:szCs w:val="20"/>
      <w:lang w:eastAsia="en-US"/>
    </w:rPr>
  </w:style>
  <w:style w:type="paragraph" w:customStyle="1" w:styleId="64">
    <w:name w:val="RAN1 text"/>
    <w:basedOn w:val="16"/>
    <w:qFormat/>
    <w:uiPriority w:val="0"/>
    <w:rPr>
      <w:rFonts w:eastAsia="MS Mincho"/>
    </w:rPr>
  </w:style>
  <w:style w:type="paragraph" w:customStyle="1" w:styleId="65">
    <w:name w:val="列出段落3"/>
    <w:basedOn w:val="1"/>
    <w:qFormat/>
    <w:uiPriority w:val="99"/>
    <w:pPr>
      <w:ind w:firstLine="420" w:firstLineChars="200"/>
    </w:pPr>
  </w:style>
  <w:style w:type="paragraph" w:customStyle="1" w:styleId="66">
    <w:name w:val="_Style 1"/>
    <w:basedOn w:val="1"/>
    <w:qFormat/>
    <w:uiPriority w:val="34"/>
    <w:pPr>
      <w:ind w:left="840" w:leftChars="400"/>
    </w:pPr>
  </w:style>
  <w:style w:type="paragraph" w:customStyle="1" w:styleId="67">
    <w:name w:val="列出段落2"/>
    <w:basedOn w:val="1"/>
    <w:qFormat/>
    <w:uiPriority w:val="99"/>
    <w:pPr>
      <w:ind w:left="720"/>
      <w:contextualSpacing/>
    </w:pPr>
  </w:style>
  <w:style w:type="paragraph" w:customStyle="1" w:styleId="68">
    <w:name w:val="B1"/>
    <w:basedOn w:val="19"/>
    <w:qFormat/>
    <w:uiPriority w:val="0"/>
  </w:style>
  <w:style w:type="paragraph" w:customStyle="1" w:styleId="69">
    <w:name w:val="List Paragraph1"/>
    <w:basedOn w:val="1"/>
    <w:unhideWhenUsed/>
    <w:qFormat/>
    <w:uiPriority w:val="99"/>
    <w:pPr>
      <w:ind w:firstLine="420" w:firstLineChars="200"/>
    </w:pPr>
  </w:style>
  <w:style w:type="paragraph" w:customStyle="1" w:styleId="70">
    <w:name w:val="列出段落1"/>
    <w:basedOn w:val="1"/>
    <w:link w:val="92"/>
    <w:qFormat/>
    <w:uiPriority w:val="34"/>
    <w:pPr>
      <w:widowControl w:val="0"/>
      <w:ind w:firstLine="420" w:firstLineChars="200"/>
    </w:pPr>
    <w:rPr>
      <w:kern w:val="2"/>
      <w:sz w:val="21"/>
      <w:szCs w:val="24"/>
    </w:rPr>
  </w:style>
  <w:style w:type="paragraph" w:customStyle="1" w:styleId="71">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2">
    <w:name w:val="List Paragraph7"/>
    <w:basedOn w:val="1"/>
    <w:qFormat/>
    <w:uiPriority w:val="34"/>
    <w:pPr>
      <w:ind w:firstLine="420"/>
    </w:pPr>
    <w:rPr>
      <w:rFonts w:ascii="MS PGothic" w:hAnsi="MS PGothic" w:eastAsia="MS PGothic" w:cs="宋体"/>
      <w:sz w:val="24"/>
      <w:szCs w:val="24"/>
    </w:rPr>
  </w:style>
  <w:style w:type="paragraph" w:customStyle="1" w:styleId="73">
    <w:name w:val="表格文字居左"/>
    <w:basedOn w:val="1"/>
    <w:next w:val="1"/>
    <w:qFormat/>
    <w:uiPriority w:val="0"/>
    <w:pPr>
      <w:widowControl w:val="0"/>
    </w:pPr>
    <w:rPr>
      <w:rFonts w:ascii="Arial" w:hAnsi="Arial" w:cs="宋体"/>
      <w:kern w:val="2"/>
      <w:sz w:val="21"/>
      <w:szCs w:val="20"/>
    </w:rPr>
  </w:style>
  <w:style w:type="paragraph" w:customStyle="1" w:styleId="74">
    <w:name w:val="_Style 3"/>
    <w:basedOn w:val="1"/>
    <w:qFormat/>
    <w:uiPriority w:val="34"/>
    <w:pPr>
      <w:ind w:left="840" w:leftChars="400"/>
    </w:p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6">
    <w:name w:val="List Paragraph6"/>
    <w:basedOn w:val="1"/>
    <w:qFormat/>
    <w:uiPriority w:val="99"/>
    <w:pPr>
      <w:ind w:firstLine="420" w:firstLineChars="200"/>
    </w:pPr>
  </w:style>
  <w:style w:type="paragraph" w:customStyle="1" w:styleId="77">
    <w:name w:val="tablecell"/>
    <w:basedOn w:val="1"/>
    <w:qFormat/>
    <w:uiPriority w:val="0"/>
    <w:pPr>
      <w:autoSpaceDE w:val="0"/>
      <w:autoSpaceDN w:val="0"/>
      <w:spacing w:before="40" w:after="40"/>
    </w:pPr>
    <w:rPr>
      <w:lang w:eastAsia="en-US"/>
    </w:rPr>
  </w:style>
  <w:style w:type="paragraph" w:customStyle="1" w:styleId="78">
    <w:name w:val="tableheader"/>
    <w:basedOn w:val="1"/>
    <w:qFormat/>
    <w:uiPriority w:val="0"/>
    <w:pPr>
      <w:spacing w:before="40" w:after="40"/>
      <w:jc w:val="center"/>
    </w:pPr>
    <w:rPr>
      <w:rFonts w:cs="Calibri"/>
      <w:b/>
      <w:bCs/>
      <w:color w:val="000000"/>
      <w:lang w:eastAsia="en-US"/>
    </w:rPr>
  </w:style>
  <w:style w:type="paragraph" w:customStyle="1" w:styleId="79">
    <w:name w:val="Test"/>
    <w:basedOn w:val="1"/>
    <w:qFormat/>
    <w:uiPriority w:val="0"/>
    <w:pPr>
      <w:spacing w:before="60" w:after="60" w:line="280" w:lineRule="atLeast"/>
      <w:ind w:left="2160"/>
    </w:pPr>
    <w:rPr>
      <w:rFonts w:eastAsia="MS Mincho"/>
      <w:szCs w:val="20"/>
      <w:lang w:eastAsia="en-US"/>
    </w:rPr>
  </w:style>
  <w:style w:type="paragraph" w:customStyle="1" w:styleId="80">
    <w:name w:val="main text"/>
    <w:basedOn w:val="1"/>
    <w:link w:val="109"/>
    <w:qFormat/>
    <w:uiPriority w:val="0"/>
    <w:pPr>
      <w:spacing w:before="60" w:after="60"/>
      <w:ind w:firstLine="200" w:firstLineChars="200"/>
    </w:pPr>
    <w:rPr>
      <w:rFonts w:eastAsia="Malgun Gothic"/>
      <w:szCs w:val="20"/>
      <w:lang w:eastAsia="ko-KR"/>
    </w:rPr>
  </w:style>
  <w:style w:type="paragraph" w:customStyle="1" w:styleId="81">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2">
    <w:name w:val="RAN1 bullet1"/>
    <w:basedOn w:val="1"/>
    <w:qFormat/>
    <w:uiPriority w:val="0"/>
    <w:pPr>
      <w:numPr>
        <w:ilvl w:val="0"/>
        <w:numId w:val="3"/>
      </w:numPr>
    </w:pPr>
  </w:style>
  <w:style w:type="paragraph" w:customStyle="1" w:styleId="83">
    <w:name w:val="List Paragraph2"/>
    <w:basedOn w:val="1"/>
    <w:qFormat/>
    <w:uiPriority w:val="99"/>
    <w:pPr>
      <w:ind w:firstLine="420" w:firstLineChars="200"/>
    </w:pPr>
  </w:style>
  <w:style w:type="paragraph" w:customStyle="1" w:styleId="84">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5">
    <w:name w:val="z-窗体顶端1"/>
    <w:basedOn w:val="1"/>
    <w:next w:val="1"/>
    <w:link w:val="90"/>
    <w:unhideWhenUsed/>
    <w:qFormat/>
    <w:uiPriority w:val="99"/>
    <w:pPr>
      <w:pBdr>
        <w:bottom w:val="single" w:color="auto" w:sz="6" w:space="1"/>
      </w:pBdr>
      <w:jc w:val="center"/>
    </w:pPr>
    <w:rPr>
      <w:rFonts w:ascii="Arial" w:hAnsi="Arial"/>
      <w:vanish/>
      <w:sz w:val="16"/>
      <w:szCs w:val="16"/>
    </w:rPr>
  </w:style>
  <w:style w:type="character" w:customStyle="1" w:styleId="86">
    <w:name w:val="Heading 7 Char"/>
    <w:link w:val="8"/>
    <w:semiHidden/>
    <w:qFormat/>
    <w:uiPriority w:val="9"/>
    <w:rPr>
      <w:b/>
      <w:bCs/>
      <w:sz w:val="24"/>
      <w:szCs w:val="24"/>
      <w:lang w:val="en-US" w:eastAsia="zh-CN"/>
    </w:rPr>
  </w:style>
  <w:style w:type="character" w:customStyle="1" w:styleId="87">
    <w:name w:val="TH Char"/>
    <w:link w:val="38"/>
    <w:qFormat/>
    <w:uiPriority w:val="0"/>
    <w:rPr>
      <w:rFonts w:ascii="Arial" w:hAnsi="Arial"/>
      <w:b/>
      <w:lang w:eastAsia="en-US"/>
    </w:rPr>
  </w:style>
  <w:style w:type="character" w:customStyle="1" w:styleId="88">
    <w:name w:val="Body Text Char"/>
    <w:link w:val="16"/>
    <w:qFormat/>
    <w:uiPriority w:val="0"/>
    <w:rPr>
      <w:rFonts w:ascii="Times New Roman" w:hAnsi="Times New Roman" w:eastAsia="宋体"/>
      <w:color w:val="000000"/>
      <w:kern w:val="2"/>
      <w:sz w:val="21"/>
    </w:rPr>
  </w:style>
  <w:style w:type="character" w:customStyle="1" w:styleId="89">
    <w:name w:val="Date Char"/>
    <w:link w:val="21"/>
    <w:semiHidden/>
    <w:qFormat/>
    <w:uiPriority w:val="99"/>
    <w:rPr>
      <w:sz w:val="22"/>
      <w:szCs w:val="22"/>
    </w:rPr>
  </w:style>
  <w:style w:type="character" w:customStyle="1" w:styleId="90">
    <w:name w:val="z-窗体顶端 Char"/>
    <w:link w:val="85"/>
    <w:semiHidden/>
    <w:qFormat/>
    <w:uiPriority w:val="99"/>
    <w:rPr>
      <w:rFonts w:ascii="Arial" w:hAnsi="Arial" w:cs="Arial"/>
      <w:vanish/>
      <w:sz w:val="16"/>
      <w:szCs w:val="16"/>
    </w:rPr>
  </w:style>
  <w:style w:type="character" w:customStyle="1" w:styleId="91">
    <w:name w:val="Comment Subject Char"/>
    <w:link w:val="26"/>
    <w:semiHidden/>
    <w:qFormat/>
    <w:uiPriority w:val="99"/>
    <w:rPr>
      <w:b/>
      <w:bCs/>
    </w:rPr>
  </w:style>
  <w:style w:type="character" w:customStyle="1" w:styleId="92">
    <w:name w:val="列出段落 Char"/>
    <w:link w:val="70"/>
    <w:qFormat/>
    <w:uiPriority w:val="34"/>
    <w:rPr>
      <w:rFonts w:ascii="Times New Roman" w:hAnsi="Times New Roman"/>
      <w:kern w:val="2"/>
      <w:sz w:val="21"/>
      <w:szCs w:val="24"/>
    </w:rPr>
  </w:style>
  <w:style w:type="character" w:customStyle="1" w:styleId="93">
    <w:name w:val="Header Char"/>
    <w:link w:val="24"/>
    <w:qFormat/>
    <w:uiPriority w:val="99"/>
    <w:rPr>
      <w:rFonts w:ascii="Arial" w:hAnsi="Arial" w:eastAsia="MS Mincho"/>
      <w:b/>
      <w:szCs w:val="24"/>
      <w:lang w:eastAsia="en-US"/>
    </w:rPr>
  </w:style>
  <w:style w:type="character" w:customStyle="1" w:styleId="94">
    <w:name w:val="TF Char"/>
    <w:link w:val="58"/>
    <w:qFormat/>
    <w:uiPriority w:val="0"/>
    <w:rPr>
      <w:rFonts w:ascii="Arial" w:hAnsi="Arial"/>
      <w:b/>
      <w:lang w:val="en-GB" w:eastAsia="en-US"/>
    </w:rPr>
  </w:style>
  <w:style w:type="character" w:customStyle="1" w:styleId="95">
    <w:name w:val="Heading 6 Char"/>
    <w:link w:val="7"/>
    <w:semiHidden/>
    <w:qFormat/>
    <w:uiPriority w:val="9"/>
    <w:rPr>
      <w:rFonts w:ascii="Cambria" w:hAnsi="Cambria" w:eastAsia="宋体" w:cs="黑体"/>
      <w:b/>
      <w:bCs/>
      <w:sz w:val="24"/>
      <w:szCs w:val="24"/>
      <w:lang w:val="en-US" w:eastAsia="zh-CN"/>
    </w:rPr>
  </w:style>
  <w:style w:type="character" w:customStyle="1" w:styleId="96">
    <w:name w:val="Heading 4 Char"/>
    <w:link w:val="5"/>
    <w:qFormat/>
    <w:uiPriority w:val="0"/>
    <w:rPr>
      <w:rFonts w:ascii="Times New Roman" w:hAnsi="Times New Roman"/>
      <w:b/>
      <w:sz w:val="28"/>
      <w:szCs w:val="28"/>
      <w:lang w:eastAsia="zh-CN"/>
    </w:rPr>
  </w:style>
  <w:style w:type="character" w:customStyle="1" w:styleId="97">
    <w:name w:val="Heading 9 Char"/>
    <w:link w:val="10"/>
    <w:semiHidden/>
    <w:qFormat/>
    <w:uiPriority w:val="9"/>
    <w:rPr>
      <w:rFonts w:ascii="Cambria" w:hAnsi="Cambria" w:eastAsia="宋体" w:cs="黑体"/>
      <w:sz w:val="21"/>
      <w:szCs w:val="21"/>
      <w:lang w:val="en-US" w:eastAsia="zh-CN"/>
    </w:rPr>
  </w:style>
  <w:style w:type="character" w:customStyle="1" w:styleId="98">
    <w:name w:val="Plain Text Char"/>
    <w:link w:val="20"/>
    <w:qFormat/>
    <w:uiPriority w:val="99"/>
    <w:rPr>
      <w:rFonts w:eastAsia="Calibri"/>
      <w:sz w:val="22"/>
      <w:szCs w:val="21"/>
      <w:lang w:eastAsia="en-US"/>
    </w:rPr>
  </w:style>
  <w:style w:type="character" w:customStyle="1" w:styleId="99">
    <w:name w:val="apple-converted-space"/>
    <w:basedOn w:val="29"/>
    <w:qFormat/>
    <w:uiPriority w:val="0"/>
  </w:style>
  <w:style w:type="character" w:customStyle="1" w:styleId="100">
    <w:name w:val="Heading 5 Char"/>
    <w:link w:val="6"/>
    <w:qFormat/>
    <w:uiPriority w:val="0"/>
    <w:rPr>
      <w:rFonts w:ascii="Times New Roman" w:hAnsi="Times New Roman"/>
      <w:b/>
      <w:sz w:val="24"/>
      <w:szCs w:val="24"/>
      <w:lang w:eastAsia="zh-CN"/>
    </w:rPr>
  </w:style>
  <w:style w:type="character" w:customStyle="1" w:styleId="101">
    <w:name w:val="Caption Char"/>
    <w:link w:val="13"/>
    <w:qFormat/>
    <w:uiPriority w:val="0"/>
    <w:rPr>
      <w:rFonts w:ascii="Times New Roman" w:hAnsi="Times New Roman"/>
      <w:b/>
      <w:bCs/>
    </w:rPr>
  </w:style>
  <w:style w:type="character" w:customStyle="1" w:styleId="102">
    <w:name w:val="Body Text Indent Char"/>
    <w:link w:val="17"/>
    <w:semiHidden/>
    <w:qFormat/>
    <w:uiPriority w:val="99"/>
    <w:rPr>
      <w:sz w:val="22"/>
      <w:szCs w:val="22"/>
    </w:rPr>
  </w:style>
  <w:style w:type="character" w:customStyle="1" w:styleId="103">
    <w:name w:val="Heading 8 Char"/>
    <w:link w:val="9"/>
    <w:semiHidden/>
    <w:qFormat/>
    <w:uiPriority w:val="9"/>
    <w:rPr>
      <w:rFonts w:ascii="Cambria" w:hAnsi="Cambria" w:eastAsia="宋体" w:cs="黑体"/>
      <w:sz w:val="24"/>
      <w:szCs w:val="24"/>
      <w:lang w:val="en-US" w:eastAsia="zh-CN"/>
    </w:rPr>
  </w:style>
  <w:style w:type="character" w:customStyle="1" w:styleId="104">
    <w:name w:val="short_text"/>
    <w:basedOn w:val="29"/>
    <w:qFormat/>
    <w:uiPriority w:val="0"/>
  </w:style>
  <w:style w:type="character" w:customStyle="1" w:styleId="105">
    <w:name w:val="Footer Char"/>
    <w:link w:val="23"/>
    <w:qFormat/>
    <w:uiPriority w:val="99"/>
    <w:rPr>
      <w:sz w:val="18"/>
      <w:szCs w:val="18"/>
    </w:rPr>
  </w:style>
  <w:style w:type="character" w:customStyle="1" w:styleId="106">
    <w:name w:val="Comment Text Char"/>
    <w:basedOn w:val="29"/>
    <w:link w:val="15"/>
    <w:qFormat/>
    <w:uiPriority w:val="99"/>
  </w:style>
  <w:style w:type="character" w:customStyle="1" w:styleId="107">
    <w:name w:val="hps"/>
    <w:basedOn w:val="29"/>
    <w:qFormat/>
    <w:uiPriority w:val="0"/>
  </w:style>
  <w:style w:type="character" w:customStyle="1" w:styleId="108">
    <w:name w:val="z-窗体底端 Char"/>
    <w:link w:val="59"/>
    <w:semiHidden/>
    <w:qFormat/>
    <w:uiPriority w:val="99"/>
    <w:rPr>
      <w:rFonts w:ascii="Arial" w:hAnsi="Arial" w:cs="Arial"/>
      <w:vanish/>
      <w:sz w:val="16"/>
      <w:szCs w:val="16"/>
    </w:rPr>
  </w:style>
  <w:style w:type="character" w:customStyle="1" w:styleId="109">
    <w:name w:val="main text Char"/>
    <w:link w:val="80"/>
    <w:qFormat/>
    <w:uiPriority w:val="0"/>
    <w:rPr>
      <w:rFonts w:ascii="Times New Roman" w:hAnsi="Times New Roman" w:eastAsia="Malgun Gothic"/>
      <w:lang w:eastAsia="ko-KR"/>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6"/>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5"/>
    <w:qFormat/>
    <w:uiPriority w:val="0"/>
    <w:rPr>
      <w:rFonts w:ascii="Arial" w:hAnsi="Arial" w:eastAsia="Times New Roman" w:cs="Times New Roman"/>
      <w:sz w:val="18"/>
      <w:lang w:eastAsia="en-US"/>
    </w:rPr>
  </w:style>
  <w:style w:type="character" w:customStyle="1" w:styleId="117">
    <w:name w:val="TAH Car"/>
    <w:link w:val="44"/>
    <w:qFormat/>
    <w:uiPriority w:val="0"/>
    <w:rPr>
      <w:rFonts w:ascii="Arial" w:hAnsi="Arial" w:eastAsia="Times New Roman" w:cs="Times New Roman"/>
      <w:b/>
      <w:sz w:val="18"/>
      <w:lang w:eastAsia="en-US"/>
    </w:rPr>
  </w:style>
  <w:style w:type="character" w:customStyle="1" w:styleId="118">
    <w:name w:val="List Paragraph Char"/>
    <w:link w:val="51"/>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6">
    <w:name w:val="列表段落 字符1"/>
    <w:basedOn w:val="29"/>
    <w:link w:val="127"/>
    <w:qFormat/>
    <w:uiPriority w:val="0"/>
    <w:rPr>
      <w:rFonts w:hint="default" w:ascii="Times" w:hAnsi="Times" w:eastAsia="Batang" w:cs="Times"/>
      <w:szCs w:val="24"/>
      <w:lang w:val="en-US"/>
    </w:rPr>
  </w:style>
  <w:style w:type="paragraph" w:customStyle="1" w:styleId="127">
    <w:name w:val="列表段落"/>
    <w:basedOn w:val="1"/>
    <w:link w:val="126"/>
    <w:qFormat/>
    <w:uiPriority w:val="0"/>
    <w:pPr>
      <w:spacing w:before="0" w:after="0"/>
      <w:ind w:left="840" w:leftChars="400"/>
      <w:jc w:val="left"/>
    </w:pPr>
    <w:rPr>
      <w:rFonts w:ascii="Times" w:hAnsi="Times" w:eastAsia="Batang"/>
      <w:szCs w:val="24"/>
    </w:rPr>
  </w:style>
  <w:style w:type="paragraph" w:customStyle="1" w:styleId="128">
    <w:name w:val="列表段落1"/>
    <w:basedOn w:val="1"/>
    <w:qFormat/>
    <w:uiPriority w:val="0"/>
    <w:pPr>
      <w:spacing w:before="0" w:after="0"/>
      <w:ind w:left="840" w:leftChars="400"/>
      <w:jc w:val="left"/>
    </w:pPr>
    <w:rPr>
      <w:rFonts w:ascii="Times" w:hAnsi="Times" w:eastAsia="Batang"/>
      <w:szCs w:val="24"/>
    </w:rPr>
  </w:style>
  <w:style w:type="character" w:customStyle="1" w:styleId="129">
    <w:name w:val="列表段落 字符"/>
    <w:basedOn w:val="29"/>
    <w:qFormat/>
    <w:uiPriority w:val="0"/>
    <w:rPr>
      <w:lang w:val="en-US" w:eastAsia="ko"/>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4043</Words>
  <Characters>23050</Characters>
  <Lines>192</Lines>
  <Paragraphs>54</Paragraphs>
  <TotalTime>1</TotalTime>
  <ScaleCrop>false</ScaleCrop>
  <LinksUpToDate>false</LinksUpToDate>
  <CharactersWithSpaces>27039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2022-11-07T02:37:00Z</dcterms:created>
  <dc:creator>ZTE</dc:creator>
  <cp:lastModifiedBy>Yang</cp:lastModifiedBy>
  <dcterms:modified xsi:type="dcterms:W3CDTF">2023-08-11T09:21:43Z</dcterms:modified>
  <dc:title>Full Tx Power</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